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21"/>
        <w:rPr>
          <w:rFonts w:ascii="Times New Roman"/>
          <w:sz w:val="20"/>
        </w:rPr>
      </w:pPr>
    </w:p>
    <w:p>
      <w:pPr>
        <w:pStyle w:val="BodyText"/>
        <w:ind w:left="1428"/>
        <w:rPr>
          <w:rFonts w:ascii="Times New Roman"/>
          <w:sz w:val="20"/>
        </w:rPr>
      </w:pPr>
      <w:r>
        <w:rPr>
          <w:rFonts w:ascii="Times New Roman"/>
          <w:sz w:val="20"/>
        </w:rPr>
        <mc:AlternateContent>
          <mc:Choice Requires="wps">
            <w:drawing>
              <wp:inline distT="0" distB="0" distL="0" distR="0">
                <wp:extent cx="4667250" cy="619125"/>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4667250" cy="619125"/>
                        </a:xfrm>
                        <a:prstGeom prst="rect">
                          <a:avLst/>
                        </a:prstGeom>
                        <a:ln w="6350">
                          <a:solidFill>
                            <a:srgbClr val="000000"/>
                          </a:solidFill>
                          <a:prstDash val="solid"/>
                        </a:ln>
                      </wps:spPr>
                      <wps:txbx>
                        <w:txbxContent>
                          <w:p>
                            <w:pPr>
                              <w:spacing w:before="67"/>
                              <w:ind w:left="397" w:right="0" w:firstLine="0"/>
                              <w:jc w:val="left"/>
                              <w:rPr>
                                <w:rFonts w:ascii="Arial MT" w:hAnsi="Arial MT"/>
                                <w:sz w:val="36"/>
                              </w:rPr>
                            </w:pPr>
                            <w:r>
                              <w:rPr>
                                <w:rFonts w:ascii="Arial MT" w:hAnsi="Arial MT"/>
                                <w:sz w:val="36"/>
                              </w:rPr>
                              <w:t>Convention de co-Encadrement de </w:t>
                            </w:r>
                            <w:r>
                              <w:rPr>
                                <w:rFonts w:ascii="Arial MT" w:hAnsi="Arial MT"/>
                                <w:spacing w:val="-2"/>
                                <w:sz w:val="36"/>
                              </w:rPr>
                              <w:t>thèse</w:t>
                            </w:r>
                          </w:p>
                        </w:txbxContent>
                      </wps:txbx>
                      <wps:bodyPr wrap="square" lIns="0" tIns="0" rIns="0" bIns="0" rtlCol="0">
                        <a:noAutofit/>
                      </wps:bodyPr>
                    </wps:wsp>
                  </a:graphicData>
                </a:graphic>
              </wp:inline>
            </w:drawing>
          </mc:Choice>
          <mc:Fallback>
            <w:pict>
              <v:shape style="width:367.5pt;height:48.75pt;mso-position-horizontal-relative:char;mso-position-vertical-relative:line" type="#_x0000_t202" id="docshape3" filled="false" stroked="true" strokeweight=".5pt" strokecolor="#000000">
                <w10:anchorlock/>
                <v:textbox inset="0,0,0,0">
                  <w:txbxContent>
                    <w:p>
                      <w:pPr>
                        <w:spacing w:before="67"/>
                        <w:ind w:left="397" w:right="0" w:firstLine="0"/>
                        <w:jc w:val="left"/>
                        <w:rPr>
                          <w:rFonts w:ascii="Arial MT" w:hAnsi="Arial MT"/>
                          <w:sz w:val="36"/>
                        </w:rPr>
                      </w:pPr>
                      <w:r>
                        <w:rPr>
                          <w:rFonts w:ascii="Arial MT" w:hAnsi="Arial MT"/>
                          <w:sz w:val="36"/>
                        </w:rPr>
                        <w:t>Convention de co-Encadrement de </w:t>
                      </w:r>
                      <w:r>
                        <w:rPr>
                          <w:rFonts w:ascii="Arial MT" w:hAnsi="Arial MT"/>
                          <w:spacing w:val="-2"/>
                          <w:sz w:val="36"/>
                        </w:rPr>
                        <w:t>thèse</w:t>
                      </w:r>
                    </w:p>
                  </w:txbxContent>
                </v:textbox>
                <v:stroke dashstyle="solid"/>
              </v:shape>
            </w:pict>
          </mc:Fallback>
        </mc:AlternateContent>
      </w:r>
      <w:r>
        <w:rPr>
          <w:rFonts w:ascii="Times New Roman"/>
          <w:sz w:val="20"/>
        </w:rPr>
      </w:r>
    </w:p>
    <w:p>
      <w:pPr>
        <w:pStyle w:val="BodyText"/>
        <w:rPr>
          <w:rFonts w:ascii="Times New Roman"/>
        </w:rPr>
      </w:pPr>
    </w:p>
    <w:p>
      <w:pPr>
        <w:pStyle w:val="BodyText"/>
        <w:spacing w:before="89"/>
        <w:rPr>
          <w:rFonts w:ascii="Times New Roman"/>
        </w:rPr>
      </w:pPr>
    </w:p>
    <w:p>
      <w:pPr>
        <w:pStyle w:val="BodyText"/>
        <w:spacing w:before="1"/>
        <w:ind w:left="142" w:right="134"/>
        <w:jc w:val="both"/>
      </w:pPr>
      <w:r>
        <w:rPr/>
        <w:t>Dans</w:t>
      </w:r>
      <w:r>
        <w:rPr>
          <w:spacing w:val="80"/>
        </w:rPr>
        <w:t> </w:t>
      </w:r>
      <w:r>
        <w:rPr/>
        <w:t>le</w:t>
      </w:r>
      <w:r>
        <w:rPr>
          <w:spacing w:val="80"/>
        </w:rPr>
        <w:t> </w:t>
      </w:r>
      <w:r>
        <w:rPr/>
        <w:t>but</w:t>
      </w:r>
      <w:r>
        <w:rPr>
          <w:spacing w:val="80"/>
        </w:rPr>
        <w:t> </w:t>
      </w:r>
      <w:r>
        <w:rPr/>
        <w:t>de</w:t>
      </w:r>
      <w:r>
        <w:rPr>
          <w:spacing w:val="80"/>
        </w:rPr>
        <w:t> </w:t>
      </w:r>
      <w:r>
        <w:rPr/>
        <w:t>développer</w:t>
      </w:r>
      <w:r>
        <w:rPr>
          <w:spacing w:val="80"/>
        </w:rPr>
        <w:t> </w:t>
      </w:r>
      <w:r>
        <w:rPr/>
        <w:t>la</w:t>
      </w:r>
      <w:r>
        <w:rPr>
          <w:spacing w:val="80"/>
        </w:rPr>
        <w:t> </w:t>
      </w:r>
      <w:r>
        <w:rPr/>
        <w:t>coopération</w:t>
      </w:r>
      <w:r>
        <w:rPr>
          <w:spacing w:val="80"/>
        </w:rPr>
        <w:t> </w:t>
      </w:r>
      <w:r>
        <w:rPr/>
        <w:t>scientifique</w:t>
      </w:r>
      <w:r>
        <w:rPr>
          <w:spacing w:val="80"/>
        </w:rPr>
        <w:t> </w:t>
      </w:r>
      <w:r>
        <w:rPr/>
        <w:t>entre</w:t>
      </w:r>
      <w:r>
        <w:rPr>
          <w:spacing w:val="80"/>
        </w:rPr>
        <w:t> </w:t>
      </w:r>
      <w:r>
        <w:rPr/>
        <w:t>des</w:t>
      </w:r>
      <w:r>
        <w:rPr>
          <w:spacing w:val="80"/>
        </w:rPr>
        <w:t> </w:t>
      </w:r>
      <w:r>
        <w:rPr/>
        <w:t>équipes</w:t>
      </w:r>
      <w:r>
        <w:rPr>
          <w:spacing w:val="80"/>
        </w:rPr>
        <w:t> </w:t>
      </w:r>
      <w:r>
        <w:rPr/>
        <w:t>de</w:t>
      </w:r>
      <w:r>
        <w:rPr>
          <w:spacing w:val="80"/>
        </w:rPr>
        <w:t> </w:t>
      </w:r>
      <w:r>
        <w:rPr/>
        <w:t>recherche</w:t>
      </w:r>
      <w:r>
        <w:rPr>
          <w:spacing w:val="80"/>
        </w:rPr>
        <w:t> </w:t>
      </w:r>
      <w:r>
        <w:rPr/>
        <w:t>de</w:t>
      </w:r>
      <w:r>
        <w:rPr>
          <w:spacing w:val="80"/>
        </w:rPr>
        <w:t> </w:t>
      </w:r>
      <w:r>
        <w:rPr/>
        <w:t>la Faculté</w:t>
      </w:r>
      <w:r>
        <w:rPr>
          <w:spacing w:val="-4"/>
        </w:rPr>
        <w:t> </w:t>
      </w:r>
      <w:r>
        <w:rPr>
          <w:color w:val="FF0000"/>
        </w:rPr>
        <w:t>xxxxxxxxxxxxxxxxx-USMBA</w:t>
      </w:r>
      <w:r>
        <w:rPr>
          <w:color w:val="FF0000"/>
          <w:spacing w:val="-1"/>
        </w:rPr>
        <w:t> </w:t>
      </w:r>
      <w:r>
        <w:rPr/>
        <w:t>et</w:t>
      </w:r>
      <w:r>
        <w:rPr>
          <w:spacing w:val="-4"/>
        </w:rPr>
        <w:t> </w:t>
      </w:r>
      <w:r>
        <w:rPr>
          <w:color w:val="FF0000"/>
        </w:rPr>
        <w:t>xxxxxxxxxxxxxxxxxxxxxxxxx,</w:t>
      </w:r>
      <w:r>
        <w:rPr>
          <w:color w:val="FF0000"/>
          <w:spacing w:val="-1"/>
        </w:rPr>
        <w:t> </w:t>
      </w:r>
      <w:r>
        <w:rPr/>
        <w:t>il</w:t>
      </w:r>
      <w:r>
        <w:rPr>
          <w:spacing w:val="-1"/>
        </w:rPr>
        <w:t> </w:t>
      </w:r>
      <w:r>
        <w:rPr/>
        <w:t>a</w:t>
      </w:r>
      <w:r>
        <w:rPr>
          <w:spacing w:val="-1"/>
        </w:rPr>
        <w:t> </w:t>
      </w:r>
      <w:r>
        <w:rPr/>
        <w:t>été</w:t>
      </w:r>
      <w:r>
        <w:rPr>
          <w:spacing w:val="-1"/>
        </w:rPr>
        <w:t> </w:t>
      </w:r>
      <w:r>
        <w:rPr/>
        <w:t>convenu</w:t>
      </w:r>
      <w:r>
        <w:rPr>
          <w:spacing w:val="-1"/>
        </w:rPr>
        <w:t> </w:t>
      </w:r>
      <w:r>
        <w:rPr/>
        <w:t>d’établir</w:t>
      </w:r>
      <w:r>
        <w:rPr>
          <w:spacing w:val="-1"/>
        </w:rPr>
        <w:t> </w:t>
      </w:r>
      <w:r>
        <w:rPr/>
        <w:t>cette</w:t>
      </w:r>
      <w:r>
        <w:rPr>
          <w:spacing w:val="-1"/>
        </w:rPr>
        <w:t> </w:t>
      </w:r>
      <w:r>
        <w:rPr/>
        <w:t>convention de coencadrement de thèse. La présente convention règle les rapports entre les deux établissements :</w:t>
      </w:r>
    </w:p>
    <w:p>
      <w:pPr>
        <w:pStyle w:val="BodyText"/>
        <w:spacing w:before="20"/>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927"/>
        <w:gridCol w:w="4927"/>
      </w:tblGrid>
      <w:tr>
        <w:trPr>
          <w:trHeight w:val="268" w:hRule="atLeast"/>
        </w:trPr>
        <w:tc>
          <w:tcPr>
            <w:tcW w:w="4927" w:type="dxa"/>
          </w:tcPr>
          <w:p>
            <w:pPr>
              <w:pStyle w:val="TableParagraph"/>
              <w:spacing w:line="244" w:lineRule="exact"/>
              <w:rPr>
                <w:sz w:val="22"/>
              </w:rPr>
            </w:pPr>
            <w:r>
              <w:rPr>
                <w:spacing w:val="-2"/>
                <w:sz w:val="22"/>
              </w:rPr>
              <w:t>Entre</w:t>
            </w:r>
          </w:p>
        </w:tc>
        <w:tc>
          <w:tcPr>
            <w:tcW w:w="4927" w:type="dxa"/>
          </w:tcPr>
          <w:p>
            <w:pPr>
              <w:pStyle w:val="TableParagraph"/>
              <w:spacing w:line="244" w:lineRule="exact"/>
              <w:ind w:left="108"/>
              <w:rPr>
                <w:sz w:val="22"/>
              </w:rPr>
            </w:pPr>
            <w:r>
              <w:rPr>
                <w:spacing w:val="-5"/>
                <w:sz w:val="22"/>
              </w:rPr>
              <w:t>Et</w:t>
            </w:r>
          </w:p>
        </w:tc>
      </w:tr>
      <w:tr>
        <w:trPr>
          <w:trHeight w:val="537" w:hRule="atLeast"/>
        </w:trPr>
        <w:tc>
          <w:tcPr>
            <w:tcW w:w="4927" w:type="dxa"/>
          </w:tcPr>
          <w:p>
            <w:pPr>
              <w:pStyle w:val="TableParagraph"/>
              <w:rPr>
                <w:sz w:val="22"/>
              </w:rPr>
            </w:pPr>
            <w:r>
              <w:rPr>
                <w:sz w:val="22"/>
              </w:rPr>
              <w:t>Faculté</w:t>
            </w:r>
            <w:r>
              <w:rPr>
                <w:spacing w:val="49"/>
                <w:sz w:val="22"/>
              </w:rPr>
              <w:t> </w:t>
            </w:r>
            <w:r>
              <w:rPr>
                <w:color w:val="FF0000"/>
                <w:spacing w:val="-2"/>
                <w:sz w:val="22"/>
              </w:rPr>
              <w:t>xxxxxxxxxxxUSMBA</w:t>
            </w:r>
          </w:p>
        </w:tc>
        <w:tc>
          <w:tcPr>
            <w:tcW w:w="4927" w:type="dxa"/>
          </w:tcPr>
          <w:p>
            <w:pPr>
              <w:pStyle w:val="TableParagraph"/>
              <w:ind w:left="108"/>
              <w:rPr>
                <w:sz w:val="22"/>
              </w:rPr>
            </w:pPr>
            <w:r>
              <w:rPr>
                <w:color w:val="FF0000"/>
                <w:spacing w:val="-2"/>
                <w:sz w:val="22"/>
              </w:rPr>
              <w:t>xxxxxxxxxxxxxxx</w:t>
            </w:r>
          </w:p>
        </w:tc>
      </w:tr>
      <w:tr>
        <w:trPr>
          <w:trHeight w:val="732" w:hRule="atLeast"/>
        </w:trPr>
        <w:tc>
          <w:tcPr>
            <w:tcW w:w="4927" w:type="dxa"/>
          </w:tcPr>
          <w:p>
            <w:pPr>
              <w:pStyle w:val="TableParagraph"/>
              <w:spacing w:before="3"/>
              <w:rPr>
                <w:sz w:val="20"/>
              </w:rPr>
            </w:pPr>
            <w:r>
              <w:rPr>
                <w:sz w:val="20"/>
              </w:rPr>
              <w:t>Adresse </w:t>
            </w:r>
            <w:r>
              <w:rPr>
                <w:spacing w:val="-10"/>
                <w:sz w:val="20"/>
              </w:rPr>
              <w:t>:</w:t>
            </w:r>
          </w:p>
        </w:tc>
        <w:tc>
          <w:tcPr>
            <w:tcW w:w="4927" w:type="dxa"/>
          </w:tcPr>
          <w:p>
            <w:pPr>
              <w:pStyle w:val="TableParagraph"/>
              <w:spacing w:before="3"/>
              <w:ind w:left="108"/>
              <w:rPr>
                <w:sz w:val="20"/>
              </w:rPr>
            </w:pPr>
            <w:r>
              <w:rPr>
                <w:color w:val="FF0000"/>
                <w:sz w:val="20"/>
              </w:rPr>
              <w:t>Adresse : </w:t>
            </w:r>
            <w:r>
              <w:rPr>
                <w:color w:val="FF0000"/>
                <w:spacing w:val="-2"/>
                <w:sz w:val="20"/>
              </w:rPr>
              <w:t>xxxxxxxxxxxxxxxxxx</w:t>
            </w:r>
          </w:p>
        </w:tc>
      </w:tr>
      <w:tr>
        <w:trPr>
          <w:trHeight w:val="537" w:hRule="atLeast"/>
        </w:trPr>
        <w:tc>
          <w:tcPr>
            <w:tcW w:w="4927" w:type="dxa"/>
          </w:tcPr>
          <w:p>
            <w:pPr>
              <w:pStyle w:val="TableParagraph"/>
              <w:rPr>
                <w:sz w:val="22"/>
              </w:rPr>
            </w:pPr>
            <w:r>
              <w:rPr>
                <w:sz w:val="22"/>
              </w:rPr>
              <w:t>Représentée par son Doyen, </w:t>
            </w:r>
            <w:r>
              <w:rPr>
                <w:color w:val="FF0000"/>
                <w:spacing w:val="-2"/>
                <w:sz w:val="22"/>
              </w:rPr>
              <w:t>xxxxxx</w:t>
            </w:r>
          </w:p>
        </w:tc>
        <w:tc>
          <w:tcPr>
            <w:tcW w:w="4927" w:type="dxa"/>
          </w:tcPr>
          <w:p>
            <w:pPr>
              <w:pStyle w:val="TableParagraph"/>
              <w:ind w:left="108"/>
              <w:rPr>
                <w:sz w:val="22"/>
              </w:rPr>
            </w:pPr>
            <w:r>
              <w:rPr>
                <w:color w:val="FF0000"/>
                <w:sz w:val="22"/>
              </w:rPr>
              <w:t>Représentée par son xxxx , </w:t>
            </w:r>
            <w:r>
              <w:rPr>
                <w:color w:val="FF0000"/>
                <w:spacing w:val="-2"/>
                <w:sz w:val="22"/>
              </w:rPr>
              <w:t>xxxxxxx</w:t>
            </w:r>
          </w:p>
        </w:tc>
      </w:tr>
      <w:tr>
        <w:trPr>
          <w:trHeight w:val="2319" w:hRule="atLeast"/>
        </w:trPr>
        <w:tc>
          <w:tcPr>
            <w:tcW w:w="9854" w:type="dxa"/>
            <w:gridSpan w:val="2"/>
          </w:tcPr>
          <w:p>
            <w:pPr>
              <w:pStyle w:val="TableParagraph"/>
              <w:spacing w:line="267" w:lineRule="exact"/>
              <w:jc w:val="both"/>
              <w:rPr>
                <w:sz w:val="22"/>
              </w:rPr>
            </w:pPr>
            <w:r>
              <w:rPr>
                <w:sz w:val="22"/>
              </w:rPr>
              <w:t>Réglementation en vigueur en Maroc </w:t>
            </w:r>
            <w:r>
              <w:rPr>
                <w:spacing w:val="-10"/>
                <w:sz w:val="22"/>
              </w:rPr>
              <w:t>:</w:t>
            </w:r>
          </w:p>
          <w:p>
            <w:pPr>
              <w:pStyle w:val="TableParagraph"/>
              <w:numPr>
                <w:ilvl w:val="0"/>
                <w:numId w:val="1"/>
              </w:numPr>
              <w:tabs>
                <w:tab w:pos="828" w:val="left" w:leader="none"/>
              </w:tabs>
              <w:spacing w:line="242" w:lineRule="auto" w:before="0" w:after="0"/>
              <w:ind w:left="828" w:right="96" w:hanging="360"/>
              <w:jc w:val="both"/>
              <w:rPr>
                <w:rFonts w:ascii="Wingdings" w:hAnsi="Wingdings"/>
                <w:sz w:val="20"/>
              </w:rPr>
            </w:pPr>
            <w:r>
              <w:rPr>
                <w:position w:val="1"/>
                <w:sz w:val="20"/>
              </w:rPr>
              <w:t>Loi n° 01-00 portant organisation de l’enseignement supérieur promulguée par le dahir n° 1-00-199 du 11 </w:t>
            </w:r>
            <w:r>
              <w:rPr>
                <w:sz w:val="20"/>
              </w:rPr>
              <w:t>safar 1421 (19 mai 2000</w:t>
            </w:r>
          </w:p>
          <w:p>
            <w:pPr>
              <w:pStyle w:val="TableParagraph"/>
              <w:numPr>
                <w:ilvl w:val="0"/>
                <w:numId w:val="1"/>
              </w:numPr>
              <w:tabs>
                <w:tab w:pos="828" w:val="left" w:leader="none"/>
              </w:tabs>
              <w:spacing w:line="242" w:lineRule="auto" w:before="0" w:after="0"/>
              <w:ind w:left="828" w:right="96" w:hanging="360"/>
              <w:jc w:val="both"/>
              <w:rPr>
                <w:rFonts w:ascii="Wingdings" w:hAnsi="Wingdings"/>
                <w:sz w:val="20"/>
              </w:rPr>
            </w:pPr>
            <w:r>
              <w:rPr>
                <w:position w:val="1"/>
                <w:sz w:val="20"/>
              </w:rPr>
              <w:t>Décret n° 2-04-89 du rabii II 1425 (7 juin 2004) fixant la vocation des établissements universitaires, les cycles </w:t>
            </w:r>
            <w:r>
              <w:rPr>
                <w:sz w:val="20"/>
              </w:rPr>
              <w:t>des études supérieures ainsi que les diplômes nationaux correspondants</w:t>
            </w:r>
          </w:p>
          <w:p>
            <w:pPr>
              <w:pStyle w:val="TableParagraph"/>
              <w:numPr>
                <w:ilvl w:val="0"/>
                <w:numId w:val="1"/>
              </w:numPr>
              <w:tabs>
                <w:tab w:pos="828" w:val="left" w:leader="none"/>
              </w:tabs>
              <w:spacing w:line="240" w:lineRule="auto" w:before="0" w:after="0"/>
              <w:ind w:left="828" w:right="97" w:hanging="360"/>
              <w:jc w:val="both"/>
              <w:rPr>
                <w:rFonts w:ascii="Wingdings" w:hAnsi="Wingdings"/>
                <w:sz w:val="22"/>
              </w:rPr>
            </w:pPr>
            <w:r>
              <w:rPr>
                <w:position w:val="1"/>
                <w:sz w:val="22"/>
              </w:rPr>
              <w:t>L’arrêté n° 1886.23 du 26 moharam 1446 (1er aout 2024) relatif au cahier des normes </w:t>
            </w:r>
            <w:r>
              <w:rPr>
                <w:position w:val="1"/>
                <w:sz w:val="22"/>
              </w:rPr>
              <w:t>scientifiques </w:t>
            </w:r>
            <w:r>
              <w:rPr>
                <w:sz w:val="22"/>
              </w:rPr>
              <w:t>et pédagogiques nationales du cycle de doctorat, paru dans le bulletin officiel numéro 7343- 10 du 10 rabia ath-thani 1446 (14 octobre 2024)</w:t>
            </w:r>
          </w:p>
        </w:tc>
      </w:tr>
    </w:tbl>
    <w:p>
      <w:pPr>
        <w:pStyle w:val="BodyText"/>
        <w:spacing w:before="25" w:after="1"/>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3794"/>
        <w:gridCol w:w="6060"/>
      </w:tblGrid>
      <w:tr>
        <w:trPr>
          <w:trHeight w:val="268" w:hRule="atLeast"/>
        </w:trPr>
        <w:tc>
          <w:tcPr>
            <w:tcW w:w="9854" w:type="dxa"/>
            <w:gridSpan w:val="2"/>
          </w:tcPr>
          <w:p>
            <w:pPr>
              <w:pStyle w:val="TableParagraph"/>
              <w:spacing w:line="244" w:lineRule="exact"/>
              <w:ind w:left="10"/>
              <w:jc w:val="center"/>
              <w:rPr>
                <w:b/>
                <w:sz w:val="22"/>
              </w:rPr>
            </w:pPr>
            <w:r>
              <w:rPr>
                <w:b/>
                <w:sz w:val="22"/>
              </w:rPr>
              <w:t>Concernant une thèse de doctorat préparée par </w:t>
            </w:r>
            <w:r>
              <w:rPr>
                <w:b/>
                <w:spacing w:val="-10"/>
                <w:sz w:val="22"/>
              </w:rPr>
              <w:t>:</w:t>
            </w:r>
          </w:p>
        </w:tc>
      </w:tr>
      <w:tr>
        <w:trPr>
          <w:trHeight w:val="268" w:hRule="atLeast"/>
        </w:trPr>
        <w:tc>
          <w:tcPr>
            <w:tcW w:w="3794" w:type="dxa"/>
          </w:tcPr>
          <w:p>
            <w:pPr>
              <w:pStyle w:val="TableParagraph"/>
              <w:spacing w:line="244" w:lineRule="exact"/>
              <w:rPr>
                <w:sz w:val="22"/>
              </w:rPr>
            </w:pPr>
            <w:r>
              <w:rPr>
                <w:sz w:val="22"/>
              </w:rPr>
              <w:t>Nom du </w:t>
            </w:r>
            <w:r>
              <w:rPr>
                <w:spacing w:val="-2"/>
                <w:sz w:val="22"/>
              </w:rPr>
              <w:t>Doctorant(e)</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z w:val="22"/>
              </w:rPr>
              <w:t>Prénom du </w:t>
            </w:r>
            <w:r>
              <w:rPr>
                <w:spacing w:val="-2"/>
                <w:sz w:val="22"/>
              </w:rPr>
              <w:t>Doctorant(e)</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pacing w:val="-5"/>
                <w:sz w:val="22"/>
              </w:rPr>
              <w:t>CNE</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pacing w:val="-5"/>
                <w:sz w:val="22"/>
              </w:rPr>
              <w:t>CIN</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z w:val="22"/>
              </w:rPr>
              <w:t>1</w:t>
            </w:r>
            <w:r>
              <w:rPr>
                <w:position w:val="5"/>
                <w:sz w:val="11"/>
              </w:rPr>
              <w:t>ère</w:t>
            </w:r>
            <w:r>
              <w:rPr>
                <w:spacing w:val="24"/>
                <w:position w:val="5"/>
                <w:sz w:val="11"/>
              </w:rPr>
              <w:t> </w:t>
            </w:r>
            <w:r>
              <w:rPr>
                <w:sz w:val="22"/>
              </w:rPr>
              <w:t>année </w:t>
            </w:r>
            <w:r>
              <w:rPr>
                <w:spacing w:val="-2"/>
                <w:sz w:val="22"/>
              </w:rPr>
              <w:t>d’inscription</w:t>
            </w:r>
          </w:p>
        </w:tc>
        <w:tc>
          <w:tcPr>
            <w:tcW w:w="6060" w:type="dxa"/>
          </w:tcPr>
          <w:p>
            <w:pPr>
              <w:pStyle w:val="TableParagraph"/>
              <w:spacing w:line="244" w:lineRule="exact"/>
              <w:ind w:left="108"/>
              <w:rPr>
                <w:sz w:val="22"/>
              </w:rPr>
            </w:pPr>
            <w:r>
              <w:rPr>
                <w:color w:val="FF0000"/>
                <w:sz w:val="22"/>
              </w:rPr>
              <w:t>20xx - </w:t>
            </w:r>
            <w:r>
              <w:rPr>
                <w:color w:val="FF0000"/>
                <w:spacing w:val="-4"/>
                <w:sz w:val="22"/>
              </w:rPr>
              <w:t>20xx</w:t>
            </w:r>
          </w:p>
        </w:tc>
      </w:tr>
      <w:tr>
        <w:trPr>
          <w:trHeight w:val="292" w:hRule="atLeast"/>
        </w:trPr>
        <w:tc>
          <w:tcPr>
            <w:tcW w:w="3794" w:type="dxa"/>
          </w:tcPr>
          <w:p>
            <w:pPr>
              <w:pStyle w:val="TableParagraph"/>
              <w:rPr>
                <w:sz w:val="22"/>
              </w:rPr>
            </w:pPr>
            <w:r>
              <w:rPr>
                <w:sz w:val="22"/>
              </w:rPr>
              <w:t>Formation </w:t>
            </w:r>
            <w:r>
              <w:rPr>
                <w:spacing w:val="-2"/>
                <w:sz w:val="22"/>
              </w:rPr>
              <w:t>doctorale</w:t>
            </w:r>
          </w:p>
        </w:tc>
        <w:tc>
          <w:tcPr>
            <w:tcW w:w="6060" w:type="dxa"/>
          </w:tcPr>
          <w:p>
            <w:pPr>
              <w:pStyle w:val="TableParagraph"/>
              <w:spacing w:line="269" w:lineRule="exact"/>
              <w:ind w:left="108"/>
              <w:rPr>
                <w:sz w:val="24"/>
              </w:rPr>
            </w:pPr>
            <w:r>
              <w:rPr>
                <w:color w:val="FF0000"/>
                <w:spacing w:val="-2"/>
                <w:sz w:val="24"/>
              </w:rPr>
              <w:t>xxxxxxxx</w:t>
            </w:r>
          </w:p>
        </w:tc>
      </w:tr>
      <w:tr>
        <w:trPr>
          <w:trHeight w:val="268" w:hRule="atLeast"/>
        </w:trPr>
        <w:tc>
          <w:tcPr>
            <w:tcW w:w="3794" w:type="dxa"/>
          </w:tcPr>
          <w:p>
            <w:pPr>
              <w:pStyle w:val="TableParagraph"/>
              <w:spacing w:line="244" w:lineRule="exact"/>
              <w:rPr>
                <w:sz w:val="22"/>
              </w:rPr>
            </w:pPr>
            <w:r>
              <w:rPr>
                <w:sz w:val="22"/>
              </w:rPr>
              <w:t>Dernier Diplôme </w:t>
            </w:r>
            <w:r>
              <w:rPr>
                <w:spacing w:val="-2"/>
                <w:sz w:val="22"/>
              </w:rPr>
              <w:t>obtenu</w:t>
            </w:r>
          </w:p>
        </w:tc>
        <w:tc>
          <w:tcPr>
            <w:tcW w:w="6060" w:type="dxa"/>
          </w:tcPr>
          <w:p>
            <w:pPr>
              <w:pStyle w:val="TableParagraph"/>
              <w:spacing w:line="244" w:lineRule="exact"/>
              <w:ind w:left="108"/>
              <w:rPr>
                <w:sz w:val="22"/>
              </w:rPr>
            </w:pPr>
            <w:r>
              <w:rPr>
                <w:color w:val="FF0000"/>
                <w:spacing w:val="-2"/>
                <w:sz w:val="22"/>
              </w:rPr>
              <w:t>xxxxxxxxxxxxx</w:t>
            </w:r>
          </w:p>
        </w:tc>
      </w:tr>
      <w:tr>
        <w:trPr>
          <w:trHeight w:val="292" w:hRule="atLeast"/>
        </w:trPr>
        <w:tc>
          <w:tcPr>
            <w:tcW w:w="3794" w:type="dxa"/>
          </w:tcPr>
          <w:p>
            <w:pPr>
              <w:pStyle w:val="TableParagraph"/>
              <w:rPr>
                <w:sz w:val="22"/>
              </w:rPr>
            </w:pPr>
            <w:r>
              <w:rPr>
                <w:sz w:val="22"/>
              </w:rPr>
              <w:t>Date et lieu </w:t>
            </w:r>
            <w:r>
              <w:rPr>
                <w:spacing w:val="-2"/>
                <w:sz w:val="22"/>
              </w:rPr>
              <w:t>d’obtention</w:t>
            </w:r>
          </w:p>
        </w:tc>
        <w:tc>
          <w:tcPr>
            <w:tcW w:w="6060" w:type="dxa"/>
          </w:tcPr>
          <w:p>
            <w:pPr>
              <w:pStyle w:val="TableParagraph"/>
              <w:spacing w:line="269" w:lineRule="exact"/>
              <w:ind w:left="108"/>
              <w:rPr>
                <w:sz w:val="24"/>
              </w:rPr>
            </w:pPr>
            <w:r>
              <w:rPr>
                <w:color w:val="FF0000"/>
                <w:spacing w:val="-2"/>
                <w:sz w:val="24"/>
              </w:rPr>
              <w:t>xxxxxxxxxxxxxxxxxxxx</w:t>
            </w:r>
          </w:p>
        </w:tc>
      </w:tr>
      <w:tr>
        <w:trPr>
          <w:trHeight w:val="317" w:hRule="atLeast"/>
        </w:trPr>
        <w:tc>
          <w:tcPr>
            <w:tcW w:w="3794" w:type="dxa"/>
          </w:tcPr>
          <w:p>
            <w:pPr>
              <w:pStyle w:val="TableParagraph"/>
              <w:rPr>
                <w:sz w:val="22"/>
              </w:rPr>
            </w:pPr>
            <w:r>
              <w:rPr>
                <w:sz w:val="22"/>
              </w:rPr>
              <w:t>Email </w:t>
            </w:r>
            <w:r>
              <w:rPr>
                <w:spacing w:val="-2"/>
                <w:sz w:val="22"/>
              </w:rPr>
              <w:t>académique</w:t>
            </w:r>
          </w:p>
        </w:tc>
        <w:tc>
          <w:tcPr>
            <w:tcW w:w="6060" w:type="dxa"/>
          </w:tcPr>
          <w:p>
            <w:pPr>
              <w:pStyle w:val="TableParagraph"/>
              <w:spacing w:line="293" w:lineRule="exact" w:before="5"/>
              <w:ind w:left="108"/>
              <w:rPr>
                <w:sz w:val="26"/>
              </w:rPr>
            </w:pPr>
            <w:r>
              <w:rPr>
                <w:color w:val="FF0000"/>
                <w:spacing w:val="-2"/>
                <w:sz w:val="26"/>
              </w:rPr>
              <w:t>xxxxxxxxxxxxxxxxxxx</w:t>
            </w:r>
          </w:p>
        </w:tc>
      </w:tr>
      <w:tr>
        <w:trPr>
          <w:trHeight w:val="317" w:hRule="atLeast"/>
        </w:trPr>
        <w:tc>
          <w:tcPr>
            <w:tcW w:w="3794" w:type="dxa"/>
          </w:tcPr>
          <w:p>
            <w:pPr>
              <w:pStyle w:val="TableParagraph"/>
              <w:rPr>
                <w:sz w:val="22"/>
              </w:rPr>
            </w:pPr>
            <w:r>
              <w:rPr>
                <w:sz w:val="22"/>
              </w:rPr>
              <w:t>N° du </w:t>
            </w:r>
            <w:r>
              <w:rPr>
                <w:spacing w:val="-2"/>
                <w:sz w:val="22"/>
              </w:rPr>
              <w:t>téléphone</w:t>
            </w:r>
          </w:p>
        </w:tc>
        <w:tc>
          <w:tcPr>
            <w:tcW w:w="6060" w:type="dxa"/>
          </w:tcPr>
          <w:p>
            <w:pPr>
              <w:pStyle w:val="TableParagraph"/>
              <w:spacing w:line="293" w:lineRule="exact" w:before="5"/>
              <w:ind w:left="108"/>
              <w:rPr>
                <w:sz w:val="26"/>
              </w:rPr>
            </w:pPr>
            <w:r>
              <w:rPr>
                <w:color w:val="FF0000"/>
                <w:spacing w:val="-2"/>
                <w:sz w:val="26"/>
              </w:rPr>
              <w:t>xxxxxxxxxxxxxxxxxxx</w:t>
            </w:r>
          </w:p>
        </w:tc>
      </w:tr>
    </w:tbl>
    <w:p>
      <w:pPr>
        <w:pStyle w:val="TableParagraph"/>
        <w:spacing w:after="0" w:line="293" w:lineRule="exact"/>
        <w:rPr>
          <w:sz w:val="26"/>
        </w:rPr>
        <w:sectPr>
          <w:headerReference w:type="default" r:id="rId5"/>
          <w:footerReference w:type="default" r:id="rId6"/>
          <w:type w:val="continuous"/>
          <w:pgSz w:w="11900" w:h="16820"/>
          <w:pgMar w:header="697" w:footer="692" w:top="2000" w:bottom="880" w:left="992" w:right="992"/>
          <w:pgNumType w:start="1"/>
        </w:sectPr>
      </w:pPr>
    </w:p>
    <w:p>
      <w:pPr>
        <w:pStyle w:val="BodyText"/>
        <w:spacing w:before="15"/>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868"/>
        <w:gridCol w:w="4986"/>
      </w:tblGrid>
      <w:tr>
        <w:trPr>
          <w:trHeight w:val="292" w:hRule="atLeast"/>
        </w:trPr>
        <w:tc>
          <w:tcPr>
            <w:tcW w:w="9854" w:type="dxa"/>
            <w:gridSpan w:val="2"/>
          </w:tcPr>
          <w:p>
            <w:pPr>
              <w:pStyle w:val="TableParagraph"/>
              <w:spacing w:line="269" w:lineRule="exact"/>
              <w:ind w:left="10" w:right="1"/>
              <w:jc w:val="center"/>
              <w:rPr>
                <w:b/>
                <w:sz w:val="24"/>
              </w:rPr>
            </w:pPr>
            <w:r>
              <w:rPr>
                <w:b/>
                <w:sz w:val="24"/>
              </w:rPr>
              <w:t>Sujet de </w:t>
            </w:r>
            <w:r>
              <w:rPr>
                <w:b/>
                <w:spacing w:val="-2"/>
                <w:sz w:val="24"/>
              </w:rPr>
              <w:t>thèse</w:t>
            </w:r>
          </w:p>
        </w:tc>
      </w:tr>
      <w:tr>
        <w:trPr>
          <w:trHeight w:val="805" w:hRule="atLeast"/>
        </w:trPr>
        <w:tc>
          <w:tcPr>
            <w:tcW w:w="9854" w:type="dxa"/>
            <w:gridSpan w:val="2"/>
          </w:tcPr>
          <w:p>
            <w:pPr>
              <w:pStyle w:val="TableParagraph"/>
              <w:ind w:left="0"/>
              <w:rPr>
                <w:sz w:val="22"/>
              </w:rPr>
            </w:pPr>
          </w:p>
          <w:p>
            <w:pPr>
              <w:pStyle w:val="TableParagraph"/>
              <w:spacing w:before="0"/>
              <w:ind w:left="10"/>
              <w:jc w:val="center"/>
              <w:rPr>
                <w:b/>
                <w:sz w:val="22"/>
              </w:rPr>
            </w:pPr>
            <w:r>
              <w:rPr>
                <w:b/>
                <w:color w:val="FF0000"/>
                <w:spacing w:val="-2"/>
                <w:sz w:val="22"/>
              </w:rPr>
              <w:t>xxxxxxxxxxxxxxxxxxxxxxxxxxxxxxxxx</w:t>
            </w:r>
          </w:p>
        </w:tc>
      </w:tr>
      <w:tr>
        <w:trPr>
          <w:trHeight w:val="532" w:hRule="atLeast"/>
        </w:trPr>
        <w:tc>
          <w:tcPr>
            <w:tcW w:w="9854" w:type="dxa"/>
            <w:gridSpan w:val="2"/>
          </w:tcPr>
          <w:p>
            <w:pPr>
              <w:pStyle w:val="TableParagraph"/>
              <w:spacing w:before="124"/>
              <w:ind w:left="10"/>
              <w:jc w:val="center"/>
              <w:rPr>
                <w:b/>
                <w:sz w:val="24"/>
              </w:rPr>
            </w:pPr>
            <w:r>
              <w:rPr>
                <w:b/>
                <w:sz w:val="24"/>
              </w:rPr>
              <w:t>Directeurs de </w:t>
            </w:r>
            <w:r>
              <w:rPr>
                <w:b/>
                <w:spacing w:val="-2"/>
                <w:sz w:val="24"/>
              </w:rPr>
              <w:t>thèse</w:t>
            </w:r>
          </w:p>
        </w:tc>
      </w:tr>
      <w:tr>
        <w:trPr>
          <w:trHeight w:val="1342" w:hRule="atLeast"/>
        </w:trPr>
        <w:tc>
          <w:tcPr>
            <w:tcW w:w="4868" w:type="dxa"/>
          </w:tcPr>
          <w:p>
            <w:pPr>
              <w:pStyle w:val="TableParagraph"/>
              <w:ind w:left="1885"/>
              <w:rPr>
                <w:sz w:val="22"/>
              </w:rPr>
            </w:pPr>
            <w:r>
              <w:rPr>
                <w:spacing w:val="-2"/>
                <w:sz w:val="22"/>
              </w:rPr>
              <w:t>xxxxxxxxxxx</w:t>
            </w:r>
          </w:p>
          <w:p>
            <w:pPr>
              <w:pStyle w:val="TableParagraph"/>
              <w:spacing w:before="0"/>
              <w:ind w:left="1497" w:right="1101" w:firstLine="32"/>
              <w:rPr>
                <w:sz w:val="22"/>
              </w:rPr>
            </w:pPr>
            <w:r>
              <w:rPr>
                <w:sz w:val="22"/>
              </w:rPr>
              <w:t>Grade: xxxxxxxxxxx, Email </w:t>
            </w:r>
            <w:r>
              <w:rPr>
                <w:spacing w:val="-2"/>
                <w:sz w:val="22"/>
              </w:rPr>
              <w:t>xxxxxxxxxxxxxx</w:t>
            </w:r>
          </w:p>
          <w:p>
            <w:pPr>
              <w:pStyle w:val="TableParagraph"/>
              <w:spacing w:before="0"/>
              <w:ind w:left="1192"/>
              <w:rPr>
                <w:sz w:val="22"/>
              </w:rPr>
            </w:pPr>
            <w:r>
              <w:rPr>
                <w:sz w:val="22"/>
              </w:rPr>
              <w:t>Directeur de these </w:t>
            </w:r>
            <w:r>
              <w:rPr>
                <w:spacing w:val="-2"/>
                <w:sz w:val="22"/>
              </w:rPr>
              <w:t>principal</w:t>
            </w:r>
          </w:p>
        </w:tc>
        <w:tc>
          <w:tcPr>
            <w:tcW w:w="4986" w:type="dxa"/>
          </w:tcPr>
          <w:p>
            <w:pPr>
              <w:pStyle w:val="TableParagraph"/>
              <w:ind w:left="1516" w:right="1480" w:firstLine="427"/>
              <w:rPr>
                <w:sz w:val="22"/>
              </w:rPr>
            </w:pPr>
            <w:r>
              <w:rPr>
                <w:color w:val="FF0000"/>
                <w:spacing w:val="-2"/>
                <w:sz w:val="22"/>
              </w:rPr>
              <w:t>xxxxxxxxxxx </w:t>
            </w:r>
            <w:r>
              <w:rPr>
                <w:color w:val="FF0000"/>
                <w:sz w:val="22"/>
              </w:rPr>
              <w:t>Grade</w:t>
            </w:r>
            <w:r>
              <w:rPr>
                <w:color w:val="FF0000"/>
                <w:spacing w:val="-13"/>
                <w:sz w:val="22"/>
              </w:rPr>
              <w:t> </w:t>
            </w:r>
            <w:r>
              <w:rPr>
                <w:color w:val="FF0000"/>
                <w:sz w:val="22"/>
              </w:rPr>
              <w:t>:</w:t>
            </w:r>
            <w:r>
              <w:rPr>
                <w:color w:val="FF0000"/>
                <w:spacing w:val="-12"/>
                <w:sz w:val="22"/>
              </w:rPr>
              <w:t> </w:t>
            </w:r>
            <w:r>
              <w:rPr>
                <w:color w:val="FF0000"/>
                <w:sz w:val="22"/>
              </w:rPr>
              <w:t>xxxxxxxxxxxx,</w:t>
            </w:r>
          </w:p>
          <w:p>
            <w:pPr>
              <w:pStyle w:val="TableParagraph"/>
              <w:spacing w:before="0"/>
              <w:ind w:left="1965" w:right="1401" w:hanging="553"/>
              <w:rPr>
                <w:sz w:val="22"/>
              </w:rPr>
            </w:pPr>
            <w:r>
              <w:rPr>
                <w:color w:val="FF0000"/>
                <w:sz w:val="22"/>
              </w:rPr>
              <w:t>Email</w:t>
            </w:r>
            <w:r>
              <w:rPr>
                <w:color w:val="FF0000"/>
                <w:spacing w:val="-13"/>
                <w:sz w:val="22"/>
              </w:rPr>
              <w:t> </w:t>
            </w:r>
            <w:r>
              <w:rPr>
                <w:color w:val="FF0000"/>
                <w:sz w:val="22"/>
              </w:rPr>
              <w:t>xxxxxxxxxxxxxxxxx </w:t>
            </w:r>
            <w:r>
              <w:rPr>
                <w:color w:val="FF0000"/>
                <w:spacing w:val="-2"/>
                <w:sz w:val="22"/>
              </w:rPr>
              <w:t>Codirecteur</w:t>
            </w:r>
          </w:p>
        </w:tc>
      </w:tr>
      <w:tr>
        <w:trPr>
          <w:trHeight w:val="532" w:hRule="atLeast"/>
        </w:trPr>
        <w:tc>
          <w:tcPr>
            <w:tcW w:w="9854" w:type="dxa"/>
            <w:gridSpan w:val="2"/>
          </w:tcPr>
          <w:p>
            <w:pPr>
              <w:pStyle w:val="TableParagraph"/>
              <w:spacing w:before="124"/>
              <w:ind w:left="10"/>
              <w:jc w:val="center"/>
              <w:rPr>
                <w:b/>
                <w:sz w:val="24"/>
              </w:rPr>
            </w:pPr>
            <w:r>
              <w:rPr>
                <w:b/>
                <w:sz w:val="24"/>
              </w:rPr>
              <w:t>Laboratoires de </w:t>
            </w:r>
            <w:r>
              <w:rPr>
                <w:b/>
                <w:spacing w:val="-2"/>
                <w:sz w:val="24"/>
              </w:rPr>
              <w:t>rattachement</w:t>
            </w:r>
          </w:p>
        </w:tc>
      </w:tr>
      <w:tr>
        <w:trPr>
          <w:trHeight w:val="805" w:hRule="atLeast"/>
        </w:trPr>
        <w:tc>
          <w:tcPr>
            <w:tcW w:w="4868" w:type="dxa"/>
          </w:tcPr>
          <w:p>
            <w:pPr>
              <w:pStyle w:val="TableParagraph"/>
              <w:ind w:right="1877"/>
              <w:rPr>
                <w:sz w:val="22"/>
              </w:rPr>
            </w:pPr>
            <w:r>
              <w:rPr>
                <w:sz w:val="22"/>
              </w:rPr>
              <w:t>Laboratoire</w:t>
            </w:r>
            <w:r>
              <w:rPr>
                <w:spacing w:val="14"/>
                <w:sz w:val="22"/>
              </w:rPr>
              <w:t> </w:t>
            </w:r>
            <w:r>
              <w:rPr>
                <w:sz w:val="22"/>
              </w:rPr>
              <w:t>xxxxxxxxxxxx Faculté </w:t>
            </w:r>
            <w:r>
              <w:rPr>
                <w:color w:val="FF0000"/>
                <w:sz w:val="22"/>
              </w:rPr>
              <w:t>des xxxxxxx</w:t>
            </w:r>
          </w:p>
        </w:tc>
        <w:tc>
          <w:tcPr>
            <w:tcW w:w="4986" w:type="dxa"/>
          </w:tcPr>
          <w:p>
            <w:pPr>
              <w:pStyle w:val="TableParagraph"/>
              <w:ind w:left="108" w:right="2344"/>
              <w:rPr>
                <w:sz w:val="22"/>
              </w:rPr>
            </w:pPr>
            <w:r>
              <w:rPr>
                <w:color w:val="FF0000"/>
                <w:sz w:val="22"/>
              </w:rPr>
              <w:t>Laboratoire</w:t>
            </w:r>
            <w:r>
              <w:rPr>
                <w:color w:val="FF0000"/>
                <w:spacing w:val="-13"/>
                <w:sz w:val="22"/>
              </w:rPr>
              <w:t> </w:t>
            </w:r>
            <w:r>
              <w:rPr>
                <w:color w:val="FF0000"/>
                <w:sz w:val="22"/>
              </w:rPr>
              <w:t>xxxxxxxxxxxxxxx Etablissement xxxx</w:t>
            </w:r>
          </w:p>
        </w:tc>
      </w:tr>
    </w:tbl>
    <w:p>
      <w:pPr>
        <w:pStyle w:val="BodyText"/>
        <w:spacing w:before="33"/>
      </w:pPr>
    </w:p>
    <w:p>
      <w:pPr>
        <w:pStyle w:val="Heading1"/>
        <w:numPr>
          <w:ilvl w:val="0"/>
          <w:numId w:val="2"/>
        </w:numPr>
        <w:tabs>
          <w:tab w:pos="259" w:val="left" w:leader="none"/>
        </w:tabs>
        <w:spacing w:line="240" w:lineRule="auto" w:before="0" w:after="0"/>
        <w:ind w:left="259" w:right="0" w:hanging="117"/>
        <w:jc w:val="left"/>
      </w:pPr>
      <w:r>
        <w:rPr>
          <w:u w:val="single"/>
        </w:rPr>
        <w:t> ​MODALITES </w:t>
      </w:r>
      <w:r>
        <w:rPr>
          <w:spacing w:val="-2"/>
          <w:u w:val="single"/>
        </w:rPr>
        <w:t>ADMINISTRATIVES</w:t>
      </w:r>
    </w:p>
    <w:p>
      <w:pPr>
        <w:pStyle w:val="BodyText"/>
        <w:rPr>
          <w:b/>
        </w:rPr>
      </w:pPr>
    </w:p>
    <w:p>
      <w:pPr>
        <w:spacing w:before="0"/>
        <w:ind w:left="142" w:right="0" w:firstLine="0"/>
        <w:jc w:val="left"/>
        <w:rPr>
          <w:b/>
          <w:sz w:val="22"/>
        </w:rPr>
      </w:pPr>
      <w:r>
        <w:rPr>
          <w:b/>
          <w:spacing w:val="-2"/>
          <w:sz w:val="22"/>
        </w:rPr>
        <w:t>Inscription</w:t>
      </w:r>
    </w:p>
    <w:p>
      <w:pPr>
        <w:pStyle w:val="BodyText"/>
        <w:spacing w:before="244"/>
        <w:ind w:left="142"/>
      </w:pPr>
      <w:r>
        <w:rPr/>
        <w:t>L’étudiant(e),</w:t>
      </w:r>
      <w:r>
        <w:rPr>
          <w:spacing w:val="65"/>
        </w:rPr>
        <w:t> </w:t>
      </w:r>
      <w:r>
        <w:rPr/>
        <w:t>inscrit</w:t>
      </w:r>
      <w:r>
        <w:rPr>
          <w:spacing w:val="65"/>
        </w:rPr>
        <w:t> </w:t>
      </w:r>
      <w:r>
        <w:rPr/>
        <w:t>en</w:t>
      </w:r>
      <w:r>
        <w:rPr>
          <w:spacing w:val="65"/>
        </w:rPr>
        <w:t> </w:t>
      </w:r>
      <w:r>
        <w:rPr/>
        <w:t>doctorat</w:t>
      </w:r>
      <w:r>
        <w:rPr>
          <w:spacing w:val="65"/>
        </w:rPr>
        <w:t> </w:t>
      </w:r>
      <w:r>
        <w:rPr/>
        <w:t>au</w:t>
      </w:r>
      <w:r>
        <w:rPr>
          <w:spacing w:val="65"/>
        </w:rPr>
        <w:t> </w:t>
      </w:r>
      <w:r>
        <w:rPr/>
        <w:t>Centre</w:t>
      </w:r>
      <w:r>
        <w:rPr>
          <w:spacing w:val="65"/>
        </w:rPr>
        <w:t> </w:t>
      </w:r>
      <w:r>
        <w:rPr/>
        <w:t>d’Etudes</w:t>
      </w:r>
      <w:r>
        <w:rPr>
          <w:spacing w:val="65"/>
        </w:rPr>
        <w:t> </w:t>
      </w:r>
      <w:r>
        <w:rPr/>
        <w:t>Doctorales</w:t>
      </w:r>
      <w:r>
        <w:rPr>
          <w:spacing w:val="65"/>
        </w:rPr>
        <w:t> </w:t>
      </w:r>
      <w:r>
        <w:rPr/>
        <w:t>Sciences</w:t>
      </w:r>
      <w:r>
        <w:rPr>
          <w:spacing w:val="65"/>
        </w:rPr>
        <w:t> </w:t>
      </w:r>
      <w:r>
        <w:rPr/>
        <w:t>et</w:t>
      </w:r>
      <w:r>
        <w:rPr>
          <w:spacing w:val="65"/>
        </w:rPr>
        <w:t> </w:t>
      </w:r>
      <w:r>
        <w:rPr/>
        <w:t>Techniques</w:t>
      </w:r>
      <w:r>
        <w:rPr>
          <w:spacing w:val="65"/>
        </w:rPr>
        <w:t> </w:t>
      </w:r>
      <w:r>
        <w:rPr/>
        <w:t>et</w:t>
      </w:r>
      <w:r>
        <w:rPr>
          <w:spacing w:val="65"/>
        </w:rPr>
        <w:t> </w:t>
      </w:r>
      <w:r>
        <w:rPr/>
        <w:t>Sciences Médicales de l’Université Sidi Mohamed Ben Abdellah, est tenu de :</w:t>
      </w:r>
    </w:p>
    <w:p>
      <w:pPr>
        <w:pStyle w:val="ListParagraph"/>
        <w:numPr>
          <w:ilvl w:val="1"/>
          <w:numId w:val="2"/>
        </w:numPr>
        <w:tabs>
          <w:tab w:pos="861" w:val="left" w:leader="none"/>
        </w:tabs>
        <w:spacing w:line="267" w:lineRule="exact" w:before="0" w:after="0"/>
        <w:ind w:left="861" w:right="0" w:hanging="359"/>
        <w:jc w:val="left"/>
        <w:rPr>
          <w:position w:val="1"/>
          <w:sz w:val="22"/>
        </w:rPr>
      </w:pPr>
      <w:r>
        <w:rPr>
          <w:position w:val="1"/>
          <w:sz w:val="22"/>
        </w:rPr>
        <w:t>se réinscrire chaque année en </w:t>
      </w:r>
      <w:r>
        <w:rPr>
          <w:spacing w:val="-2"/>
          <w:position w:val="1"/>
          <w:sz w:val="22"/>
        </w:rPr>
        <w:t>doctorat,</w:t>
      </w:r>
    </w:p>
    <w:p>
      <w:pPr>
        <w:pStyle w:val="ListParagraph"/>
        <w:numPr>
          <w:ilvl w:val="1"/>
          <w:numId w:val="2"/>
        </w:numPr>
        <w:tabs>
          <w:tab w:pos="861" w:val="left" w:leader="none"/>
        </w:tabs>
        <w:spacing w:line="240" w:lineRule="auto" w:before="0" w:after="0"/>
        <w:ind w:left="861" w:right="0" w:hanging="359"/>
        <w:jc w:val="left"/>
        <w:rPr>
          <w:position w:val="1"/>
          <w:sz w:val="22"/>
        </w:rPr>
      </w:pPr>
      <w:r>
        <w:rPr>
          <w:position w:val="1"/>
          <w:sz w:val="22"/>
        </w:rPr>
        <w:t>respecter le règlement et l’usage de l’établissement </w:t>
      </w:r>
      <w:r>
        <w:rPr>
          <w:spacing w:val="-2"/>
          <w:position w:val="1"/>
          <w:sz w:val="22"/>
        </w:rPr>
        <w:t>d’accueil.</w:t>
      </w:r>
    </w:p>
    <w:p>
      <w:pPr>
        <w:pStyle w:val="BodyText"/>
        <w:spacing w:before="2"/>
      </w:pPr>
    </w:p>
    <w:p>
      <w:pPr>
        <w:pStyle w:val="Heading1"/>
      </w:pPr>
      <w:r>
        <w:rPr/>
        <w:t>Date d’effet, durée et validité de la </w:t>
      </w:r>
      <w:r>
        <w:rPr>
          <w:spacing w:val="-2"/>
        </w:rPr>
        <w:t>convention</w:t>
      </w:r>
    </w:p>
    <w:p>
      <w:pPr>
        <w:pStyle w:val="BodyText"/>
        <w:rPr>
          <w:b/>
        </w:rPr>
      </w:pPr>
    </w:p>
    <w:p>
      <w:pPr>
        <w:pStyle w:val="BodyText"/>
        <w:ind w:left="142" w:right="135"/>
        <w:jc w:val="both"/>
      </w:pPr>
      <w:r>
        <w:rPr/>
        <w:t>La présente convention entre en vigueur après signature des deux établissements. Sa validité </w:t>
      </w:r>
      <w:r>
        <w:rPr/>
        <w:t>est subordonnée à l’inscription administrative de l’intéressé en doctorat. Elle est conclue pour la durée totale de préparation de la thèse.</w:t>
      </w:r>
    </w:p>
    <w:p>
      <w:pPr>
        <w:pStyle w:val="BodyText"/>
      </w:pPr>
    </w:p>
    <w:p>
      <w:pPr>
        <w:spacing w:before="0"/>
        <w:ind w:left="142" w:right="135" w:firstLine="0"/>
        <w:jc w:val="both"/>
        <w:rPr>
          <w:sz w:val="22"/>
        </w:rPr>
      </w:pPr>
      <w:r>
        <w:rPr>
          <w:sz w:val="22"/>
        </w:rPr>
        <w:t>Les</w:t>
      </w:r>
      <w:r>
        <w:rPr>
          <w:spacing w:val="-2"/>
          <w:sz w:val="22"/>
        </w:rPr>
        <w:t> </w:t>
      </w:r>
      <w:r>
        <w:rPr>
          <w:sz w:val="22"/>
        </w:rPr>
        <w:t>procédures</w:t>
      </w:r>
      <w:r>
        <w:rPr>
          <w:spacing w:val="-2"/>
          <w:sz w:val="22"/>
        </w:rPr>
        <w:t> </w:t>
      </w:r>
      <w:r>
        <w:rPr>
          <w:sz w:val="22"/>
        </w:rPr>
        <w:t>d’obtention</w:t>
      </w:r>
      <w:r>
        <w:rPr>
          <w:spacing w:val="-2"/>
          <w:sz w:val="22"/>
        </w:rPr>
        <w:t> </w:t>
      </w:r>
      <w:r>
        <w:rPr>
          <w:sz w:val="22"/>
        </w:rPr>
        <w:t>de</w:t>
      </w:r>
      <w:r>
        <w:rPr>
          <w:spacing w:val="-2"/>
          <w:sz w:val="22"/>
        </w:rPr>
        <w:t> </w:t>
      </w:r>
      <w:r>
        <w:rPr>
          <w:b/>
          <w:sz w:val="22"/>
        </w:rPr>
        <w:t>l’autorisation</w:t>
      </w:r>
      <w:r>
        <w:rPr>
          <w:b/>
          <w:spacing w:val="-2"/>
          <w:sz w:val="22"/>
        </w:rPr>
        <w:t> </w:t>
      </w:r>
      <w:r>
        <w:rPr>
          <w:b/>
          <w:sz w:val="22"/>
        </w:rPr>
        <w:t>de</w:t>
      </w:r>
      <w:r>
        <w:rPr>
          <w:b/>
          <w:spacing w:val="-2"/>
          <w:sz w:val="22"/>
        </w:rPr>
        <w:t> </w:t>
      </w:r>
      <w:r>
        <w:rPr>
          <w:b/>
          <w:sz w:val="22"/>
        </w:rPr>
        <w:t>la</w:t>
      </w:r>
      <w:r>
        <w:rPr>
          <w:b/>
          <w:spacing w:val="-2"/>
          <w:sz w:val="22"/>
        </w:rPr>
        <w:t> </w:t>
      </w:r>
      <w:r>
        <w:rPr>
          <w:b/>
          <w:sz w:val="22"/>
        </w:rPr>
        <w:t>première</w:t>
      </w:r>
      <w:r>
        <w:rPr>
          <w:b/>
          <w:spacing w:val="-2"/>
          <w:sz w:val="22"/>
        </w:rPr>
        <w:t> </w:t>
      </w:r>
      <w:r>
        <w:rPr>
          <w:b/>
          <w:sz w:val="22"/>
        </w:rPr>
        <w:t>inscription</w:t>
      </w:r>
      <w:r>
        <w:rPr>
          <w:b/>
          <w:spacing w:val="-2"/>
          <w:sz w:val="22"/>
        </w:rPr>
        <w:t> </w:t>
      </w:r>
      <w:r>
        <w:rPr>
          <w:b/>
          <w:sz w:val="22"/>
        </w:rPr>
        <w:t>en</w:t>
      </w:r>
      <w:r>
        <w:rPr>
          <w:b/>
          <w:spacing w:val="-2"/>
          <w:sz w:val="22"/>
        </w:rPr>
        <w:t> </w:t>
      </w:r>
      <w:r>
        <w:rPr>
          <w:b/>
          <w:sz w:val="22"/>
        </w:rPr>
        <w:t>doctorat</w:t>
      </w:r>
      <w:r>
        <w:rPr>
          <w:b/>
          <w:spacing w:val="-2"/>
          <w:sz w:val="22"/>
        </w:rPr>
        <w:t> </w:t>
      </w:r>
      <w:r>
        <w:rPr>
          <w:sz w:val="22"/>
        </w:rPr>
        <w:t>ou</w:t>
      </w:r>
      <w:r>
        <w:rPr>
          <w:spacing w:val="-2"/>
          <w:sz w:val="22"/>
        </w:rPr>
        <w:t> </w:t>
      </w:r>
      <w:r>
        <w:rPr>
          <w:sz w:val="22"/>
        </w:rPr>
        <w:t>de</w:t>
      </w:r>
      <w:r>
        <w:rPr>
          <w:spacing w:val="-2"/>
          <w:sz w:val="22"/>
        </w:rPr>
        <w:t> </w:t>
      </w:r>
      <w:r>
        <w:rPr>
          <w:b/>
          <w:sz w:val="22"/>
        </w:rPr>
        <w:t>la</w:t>
      </w:r>
      <w:r>
        <w:rPr>
          <w:b/>
          <w:spacing w:val="-2"/>
          <w:sz w:val="22"/>
        </w:rPr>
        <w:t> </w:t>
      </w:r>
      <w:r>
        <w:rPr>
          <w:b/>
          <w:sz w:val="22"/>
        </w:rPr>
        <w:t>dérogation</w:t>
      </w:r>
      <w:r>
        <w:rPr>
          <w:b/>
          <w:spacing w:val="-2"/>
          <w:sz w:val="22"/>
        </w:rPr>
        <w:t> </w:t>
      </w:r>
      <w:r>
        <w:rPr>
          <w:b/>
          <w:sz w:val="22"/>
        </w:rPr>
        <w:t>en vue d’une inscription supplémentaire en doctorat </w:t>
      </w:r>
      <w:r>
        <w:rPr>
          <w:sz w:val="22"/>
        </w:rPr>
        <w:t>répondent aux critères fixés par la législation en vigueur au sein de l’Université et les procédures spécifiques du Centre d’Etudes Doctorales Sciences et </w:t>
      </w:r>
      <w:r>
        <w:rPr>
          <w:sz w:val="22"/>
        </w:rPr>
        <w:t>Techniques et Sciences Médicales.</w:t>
      </w:r>
    </w:p>
    <w:p>
      <w:pPr>
        <w:pStyle w:val="BodyText"/>
      </w:pPr>
    </w:p>
    <w:p>
      <w:pPr>
        <w:pStyle w:val="BodyText"/>
        <w:spacing w:line="268" w:lineRule="exact"/>
        <w:ind w:left="142"/>
      </w:pPr>
      <w:r>
        <w:rPr/>
        <w:t>Les établissements mettent fin, sans délai, aux dispositions du présent accord dans l’un des cas suivants </w:t>
      </w:r>
      <w:r>
        <w:rPr>
          <w:spacing w:val="-10"/>
        </w:rPr>
        <w:t>:</w:t>
      </w:r>
    </w:p>
    <w:p>
      <w:pPr>
        <w:pStyle w:val="ListParagraph"/>
        <w:numPr>
          <w:ilvl w:val="1"/>
          <w:numId w:val="2"/>
        </w:numPr>
        <w:tabs>
          <w:tab w:pos="861" w:val="left" w:leader="none"/>
        </w:tabs>
        <w:spacing w:line="268" w:lineRule="exact" w:before="0" w:after="0"/>
        <w:ind w:left="861" w:right="0" w:hanging="359"/>
        <w:jc w:val="left"/>
        <w:rPr>
          <w:position w:val="1"/>
          <w:sz w:val="22"/>
        </w:rPr>
      </w:pPr>
      <w:r>
        <w:rPr>
          <w:position w:val="1"/>
          <w:sz w:val="22"/>
        </w:rPr>
        <w:t>l’étudiant renonce à poursuivre la préparation de la thèse de </w:t>
      </w:r>
      <w:r>
        <w:rPr>
          <w:spacing w:val="-2"/>
          <w:position w:val="1"/>
          <w:sz w:val="22"/>
        </w:rPr>
        <w:t>Doctorat;</w:t>
      </w:r>
    </w:p>
    <w:p>
      <w:pPr>
        <w:pStyle w:val="ListParagraph"/>
        <w:numPr>
          <w:ilvl w:val="1"/>
          <w:numId w:val="2"/>
        </w:numPr>
        <w:tabs>
          <w:tab w:pos="862" w:val="left" w:leader="none"/>
        </w:tabs>
        <w:spacing w:line="240" w:lineRule="auto" w:before="0" w:after="0"/>
        <w:ind w:left="862" w:right="135" w:hanging="360"/>
        <w:jc w:val="left"/>
        <w:rPr>
          <w:sz w:val="22"/>
        </w:rPr>
      </w:pPr>
      <w:r>
        <w:rPr>
          <w:position w:val="1"/>
          <w:sz w:val="22"/>
        </w:rPr>
        <w:t>l’inscription administrative en doctorat du candidat, n’est pas renouvelée chaque année entre la</w:t>
      </w:r>
      <w:r>
        <w:rPr>
          <w:spacing w:val="80"/>
          <w:w w:val="150"/>
          <w:position w:val="1"/>
          <w:sz w:val="22"/>
        </w:rPr>
        <w:t> </w:t>
      </w:r>
      <w:r>
        <w:rPr>
          <w:sz w:val="22"/>
        </w:rPr>
        <w:t>mise en place de la convention et la soutenance de la thèse ;</w:t>
      </w:r>
    </w:p>
    <w:p>
      <w:pPr>
        <w:pStyle w:val="ListParagraph"/>
        <w:numPr>
          <w:ilvl w:val="1"/>
          <w:numId w:val="2"/>
        </w:numPr>
        <w:tabs>
          <w:tab w:pos="862" w:val="left" w:leader="none"/>
        </w:tabs>
        <w:spacing w:line="240" w:lineRule="auto" w:before="0" w:after="0"/>
        <w:ind w:left="862" w:right="134" w:hanging="360"/>
        <w:jc w:val="left"/>
        <w:rPr>
          <w:sz w:val="22"/>
        </w:rPr>
      </w:pPr>
      <w:r>
        <w:rPr>
          <w:position w:val="1"/>
          <w:sz w:val="22"/>
        </w:rPr>
        <w:t>la poursuite de la préparation de la thèse en doctorat n’est pas autorisée en vertu d’une </w:t>
      </w:r>
      <w:r>
        <w:rPr>
          <w:position w:val="1"/>
          <w:sz w:val="22"/>
        </w:rPr>
        <w:t>décision</w:t>
      </w:r>
      <w:r>
        <w:rPr>
          <w:spacing w:val="40"/>
          <w:position w:val="1"/>
          <w:sz w:val="22"/>
        </w:rPr>
        <w:t> </w:t>
      </w:r>
      <w:r>
        <w:rPr>
          <w:sz w:val="22"/>
        </w:rPr>
        <w:t>conjointe des deux directeurs de thèse ou de travaux.</w:t>
      </w:r>
    </w:p>
    <w:p>
      <w:pPr>
        <w:pStyle w:val="BodyText"/>
        <w:spacing w:before="1"/>
      </w:pPr>
    </w:p>
    <w:p>
      <w:pPr>
        <w:pStyle w:val="Heading1"/>
        <w:jc w:val="both"/>
      </w:pPr>
      <w:r>
        <w:rPr/>
        <w:t>Alternance des </w:t>
      </w:r>
      <w:r>
        <w:rPr>
          <w:spacing w:val="-2"/>
        </w:rPr>
        <w:t>séjours</w:t>
      </w:r>
    </w:p>
    <w:p>
      <w:pPr>
        <w:pStyle w:val="BodyText"/>
        <w:ind w:left="142" w:right="135"/>
        <w:jc w:val="both"/>
      </w:pPr>
      <w:r>
        <w:rPr/>
        <w:t>La préparation de la thèse se répartit entre les deux établissements, par périodes alternatives définies d’un commun accord entre les directeurs de thèse en accord avec les directeurs de leurs laboratoires respectifs.</w:t>
      </w:r>
    </w:p>
    <w:p>
      <w:pPr>
        <w:pStyle w:val="BodyText"/>
        <w:spacing w:after="0"/>
        <w:jc w:val="both"/>
        <w:sectPr>
          <w:pgSz w:w="11900" w:h="16820"/>
          <w:pgMar w:header="697" w:footer="692" w:top="2000" w:bottom="880" w:left="992" w:right="992"/>
        </w:sectPr>
      </w:pPr>
    </w:p>
    <w:p>
      <w:pPr>
        <w:pStyle w:val="BodyText"/>
        <w:spacing w:before="263"/>
      </w:pPr>
    </w:p>
    <w:p>
      <w:pPr>
        <w:pStyle w:val="Heading1"/>
        <w:jc w:val="both"/>
      </w:pPr>
      <w:r>
        <w:rPr/>
        <w:t>Financement du doctorant durant la </w:t>
      </w:r>
      <w:r>
        <w:rPr>
          <w:spacing w:val="-2"/>
        </w:rPr>
        <w:t>thèse</w:t>
      </w:r>
    </w:p>
    <w:p>
      <w:pPr>
        <w:pStyle w:val="BodyText"/>
        <w:ind w:left="142" w:right="135"/>
        <w:jc w:val="both"/>
      </w:pPr>
      <w:r>
        <w:rPr/>
        <w:t>Le doctorant peut solliciter la bourse accordée par le ministère de l’enseignement supérieur, de la formation des cadres et de la recherche scientifique - Maroc ou candidater à la bourse des </w:t>
      </w:r>
      <w:r>
        <w:rPr/>
        <w:t>doctorants moniteurs</w:t>
      </w:r>
      <w:r>
        <w:rPr>
          <w:spacing w:val="-3"/>
        </w:rPr>
        <w:t> </w:t>
      </w:r>
      <w:r>
        <w:rPr/>
        <w:t>accordée</w:t>
      </w:r>
      <w:r>
        <w:rPr>
          <w:spacing w:val="-3"/>
        </w:rPr>
        <w:t> </w:t>
      </w:r>
      <w:r>
        <w:rPr/>
        <w:t>par</w:t>
      </w:r>
      <w:r>
        <w:rPr>
          <w:spacing w:val="-3"/>
        </w:rPr>
        <w:t> </w:t>
      </w:r>
      <w:r>
        <w:rPr/>
        <w:t>le</w:t>
      </w:r>
      <w:r>
        <w:rPr>
          <w:spacing w:val="-3"/>
        </w:rPr>
        <w:t> </w:t>
      </w:r>
      <w:r>
        <w:rPr/>
        <w:t>CNRST.</w:t>
      </w:r>
      <w:r>
        <w:rPr>
          <w:spacing w:val="-3"/>
        </w:rPr>
        <w:t> </w:t>
      </w:r>
      <w:r>
        <w:rPr/>
        <w:t>Il</w:t>
      </w:r>
      <w:r>
        <w:rPr>
          <w:spacing w:val="-3"/>
        </w:rPr>
        <w:t> </w:t>
      </w:r>
      <w:r>
        <w:rPr/>
        <w:t>pourra</w:t>
      </w:r>
      <w:r>
        <w:rPr>
          <w:spacing w:val="-3"/>
        </w:rPr>
        <w:t> </w:t>
      </w:r>
      <w:r>
        <w:rPr/>
        <w:t>également</w:t>
      </w:r>
      <w:r>
        <w:rPr>
          <w:spacing w:val="-3"/>
        </w:rPr>
        <w:t> </w:t>
      </w:r>
      <w:r>
        <w:rPr/>
        <w:t>candidater</w:t>
      </w:r>
      <w:r>
        <w:rPr>
          <w:spacing w:val="-3"/>
        </w:rPr>
        <w:t> </w:t>
      </w:r>
      <w:r>
        <w:rPr/>
        <w:t>pour</w:t>
      </w:r>
      <w:r>
        <w:rPr>
          <w:spacing w:val="-3"/>
        </w:rPr>
        <w:t> </w:t>
      </w:r>
      <w:r>
        <w:rPr/>
        <w:t>les</w:t>
      </w:r>
      <w:r>
        <w:rPr>
          <w:spacing w:val="-3"/>
        </w:rPr>
        <w:t> </w:t>
      </w:r>
      <w:r>
        <w:rPr/>
        <w:t>bourses</w:t>
      </w:r>
      <w:r>
        <w:rPr>
          <w:spacing w:val="-3"/>
        </w:rPr>
        <w:t> </w:t>
      </w:r>
      <w:r>
        <w:rPr/>
        <w:t>et</w:t>
      </w:r>
      <w:r>
        <w:rPr>
          <w:spacing w:val="-3"/>
        </w:rPr>
        <w:t> </w:t>
      </w:r>
      <w:r>
        <w:rPr/>
        <w:t>contrats</w:t>
      </w:r>
      <w:r>
        <w:rPr>
          <w:spacing w:val="-3"/>
        </w:rPr>
        <w:t> </w:t>
      </w:r>
      <w:r>
        <w:rPr/>
        <w:t>de</w:t>
      </w:r>
      <w:r>
        <w:rPr>
          <w:spacing w:val="-3"/>
        </w:rPr>
        <w:t> </w:t>
      </w:r>
      <w:r>
        <w:rPr/>
        <w:t>recherche accordés par d’autres organismes nationaux et internationaux.</w:t>
      </w:r>
    </w:p>
    <w:p>
      <w:pPr>
        <w:pStyle w:val="BodyText"/>
      </w:pPr>
    </w:p>
    <w:p>
      <w:pPr>
        <w:pStyle w:val="Heading1"/>
        <w:numPr>
          <w:ilvl w:val="0"/>
          <w:numId w:val="2"/>
        </w:numPr>
        <w:tabs>
          <w:tab w:pos="318" w:val="left" w:leader="none"/>
        </w:tabs>
        <w:spacing w:line="240" w:lineRule="auto" w:before="0" w:after="0"/>
        <w:ind w:left="318" w:right="0" w:hanging="176"/>
        <w:jc w:val="left"/>
      </w:pPr>
      <w:r>
        <w:rPr>
          <w:u w:val="single"/>
        </w:rPr>
        <w:t> ​MODALITES </w:t>
      </w:r>
      <w:r>
        <w:rPr>
          <w:spacing w:val="-2"/>
          <w:u w:val="single"/>
        </w:rPr>
        <w:t>PEDAGOGIQUES</w:t>
      </w:r>
    </w:p>
    <w:p>
      <w:pPr>
        <w:pStyle w:val="BodyText"/>
        <w:rPr>
          <w:b/>
        </w:rPr>
      </w:pPr>
    </w:p>
    <w:p>
      <w:pPr>
        <w:spacing w:before="0"/>
        <w:ind w:left="142" w:right="0" w:firstLine="0"/>
        <w:jc w:val="both"/>
        <w:rPr>
          <w:b/>
          <w:sz w:val="22"/>
        </w:rPr>
      </w:pPr>
      <w:r>
        <w:rPr>
          <w:b/>
          <w:sz w:val="22"/>
        </w:rPr>
        <w:t>Direction de la </w:t>
      </w:r>
      <w:r>
        <w:rPr>
          <w:b/>
          <w:spacing w:val="-2"/>
          <w:sz w:val="22"/>
        </w:rPr>
        <w:t>thèse</w:t>
      </w:r>
    </w:p>
    <w:p>
      <w:pPr>
        <w:pStyle w:val="BodyText"/>
        <w:ind w:left="142" w:right="135"/>
        <w:jc w:val="both"/>
      </w:pPr>
      <w:r>
        <w:rPr/>
        <w:t>Les deux directeurs de thèse proposent le sujet de thèse et s’engagent à exercer pleinement la fonction de tuteur auprès de l’étudiant. Le directeur de thèse appartenant à l’USMBA est considéré comme directeur principal</w:t>
      </w:r>
      <w:r>
        <w:rPr>
          <w:spacing w:val="-1"/>
        </w:rPr>
        <w:t> </w:t>
      </w:r>
      <w:r>
        <w:rPr/>
        <w:t>; il est le seul interlocuteur administratif. La coordination de leur action se traduit par des</w:t>
      </w:r>
      <w:r>
        <w:rPr>
          <w:spacing w:val="40"/>
        </w:rPr>
        <w:t> </w:t>
      </w:r>
      <w:r>
        <w:rPr/>
        <w:t>échanges d’informations et par des rencontres périodiques.</w:t>
      </w:r>
    </w:p>
    <w:p>
      <w:pPr>
        <w:pStyle w:val="BodyText"/>
        <w:ind w:left="142" w:right="135"/>
        <w:jc w:val="both"/>
      </w:pPr>
      <w:r>
        <w:rPr/>
        <w:t>Pendant la durée de sa thèse, le doctorant sera soumis aux dispositions de la charte du Centre </w:t>
      </w:r>
      <w:r>
        <w:rPr/>
        <w:t>d’Etudes Doctorales Sciences et Techniques et Sciences Médicales et aux obligations de formation complémentaire qui stipule de valider 09 modules obligatoires pendant les 03 premières années de thèse, pour pouvoir prétendre soutenir une thèse.</w:t>
      </w:r>
    </w:p>
    <w:p>
      <w:pPr>
        <w:pStyle w:val="BodyText"/>
      </w:pPr>
    </w:p>
    <w:p>
      <w:pPr>
        <w:pStyle w:val="BodyText"/>
        <w:ind w:left="142" w:right="135"/>
        <w:jc w:val="both"/>
      </w:pPr>
      <w:r>
        <w:rPr/>
        <w:t>En cas de changement dans la direction de la thèse, la procédure suivie sera celle du Centre d’Etudes Doctorales Sciences et Techniques et Sciences Médicales. Ce changement devra être communiqué à </w:t>
      </w:r>
      <w:r>
        <w:rPr/>
        <w:t>l’autre </w:t>
      </w:r>
      <w:r>
        <w:rPr>
          <w:spacing w:val="-2"/>
        </w:rPr>
        <w:t>établissement.</w:t>
      </w:r>
    </w:p>
    <w:p>
      <w:pPr>
        <w:pStyle w:val="BodyText"/>
      </w:pPr>
    </w:p>
    <w:p>
      <w:pPr>
        <w:pStyle w:val="Heading1"/>
        <w:jc w:val="both"/>
      </w:pPr>
      <w:r>
        <w:rPr/>
        <w:t>Organisation et lieu de la </w:t>
      </w:r>
      <w:r>
        <w:rPr>
          <w:spacing w:val="-2"/>
        </w:rPr>
        <w:t>soutenance</w:t>
      </w:r>
    </w:p>
    <w:p>
      <w:pPr>
        <w:pStyle w:val="BodyText"/>
        <w:ind w:left="142" w:right="135"/>
        <w:jc w:val="both"/>
      </w:pPr>
      <w:r>
        <w:rPr/>
        <w:t>Les procédures et délais pour l’organisation de la soutenance respecteront la législation en vigueur dans l’Université Sidi Mohamed Ben Abdellah selon les conditions spécifiques du </w:t>
      </w:r>
      <w:r>
        <w:rPr>
          <w:b/>
        </w:rPr>
        <w:t>Centre d’Etudes </w:t>
      </w:r>
      <w:r>
        <w:rPr>
          <w:b/>
        </w:rPr>
        <w:t>Doctorales </w:t>
      </w:r>
      <w:r>
        <w:rPr/>
        <w:t>Sciences et Techniques et Sciences Médicales.</w:t>
      </w:r>
    </w:p>
    <w:p>
      <w:pPr>
        <w:pStyle w:val="BodyText"/>
      </w:pPr>
    </w:p>
    <w:p>
      <w:pPr>
        <w:pStyle w:val="Heading1"/>
        <w:jc w:val="both"/>
      </w:pPr>
      <w:r>
        <w:rPr/>
        <w:t>Composition du </w:t>
      </w:r>
      <w:r>
        <w:rPr>
          <w:spacing w:val="-4"/>
        </w:rPr>
        <w:t>jury</w:t>
      </w:r>
    </w:p>
    <w:p>
      <w:pPr>
        <w:pStyle w:val="BodyText"/>
        <w:ind w:left="142" w:right="135"/>
        <w:jc w:val="both"/>
      </w:pPr>
      <w:r>
        <w:rPr/>
        <w:t>Le jury de soutenance sera désigné selon les procédures fixées par le Centre d’Etudes Doctorales </w:t>
      </w:r>
      <w:r>
        <w:rPr/>
        <w:t>Sciences</w:t>
      </w:r>
      <w:r>
        <w:rPr>
          <w:spacing w:val="40"/>
        </w:rPr>
        <w:t> </w:t>
      </w:r>
      <w:r>
        <w:rPr/>
        <w:t>et Techniques et Sciences Médicales.</w:t>
      </w:r>
    </w:p>
    <w:p>
      <w:pPr>
        <w:pStyle w:val="BodyText"/>
        <w:spacing w:before="171"/>
      </w:pPr>
    </w:p>
    <w:p>
      <w:pPr>
        <w:pStyle w:val="Heading1"/>
      </w:pPr>
      <w:r>
        <w:rPr>
          <w:spacing w:val="-2"/>
        </w:rPr>
        <w:t>Publication</w:t>
      </w:r>
    </w:p>
    <w:p>
      <w:pPr>
        <w:pStyle w:val="BodyText"/>
        <w:ind w:left="142"/>
      </w:pPr>
      <w:r>
        <w:rPr/>
        <w:t>Les modalités de présentation, de dépôt et de reproduction de thèse seront établies dans le respect de la</w:t>
      </w:r>
      <w:r>
        <w:rPr>
          <w:spacing w:val="40"/>
        </w:rPr>
        <w:t> </w:t>
      </w:r>
      <w:r>
        <w:rPr/>
        <w:t>réglementation en vigueur.</w:t>
      </w:r>
    </w:p>
    <w:p>
      <w:pPr>
        <w:pStyle w:val="BodyText"/>
      </w:pPr>
    </w:p>
    <w:p>
      <w:pPr>
        <w:pStyle w:val="BodyText"/>
        <w:ind w:left="142" w:right="135"/>
        <w:jc w:val="both"/>
      </w:pPr>
      <w:r>
        <w:rPr/>
        <w:t>La protection du sujet de thèse, ainsi que la publication, l’exploitation et la protection des résultats issus</w:t>
      </w:r>
      <w:r>
        <w:rPr>
          <w:spacing w:val="40"/>
        </w:rPr>
        <w:t> </w:t>
      </w:r>
      <w:r>
        <w:rPr/>
        <w:t>des travaux de recherche du doctorant dans les deux établissements signataires seront assujetties à </w:t>
      </w:r>
      <w:r>
        <w:rPr/>
        <w:t>la réglementation en vigueur et assurées conformément aux procédures spécifiques du Centre d’Etudes Doctorales Sciences et Techniques et Sciences Médicales.</w:t>
      </w:r>
    </w:p>
    <w:p>
      <w:pPr>
        <w:pStyle w:val="BodyText"/>
      </w:pPr>
    </w:p>
    <w:p>
      <w:pPr>
        <w:pStyle w:val="BodyText"/>
        <w:ind w:left="142"/>
      </w:pPr>
      <w:r>
        <w:rPr/>
        <w:t>Sur demande, les dispositions concernant la protection des droits de propriété intellectuelle pourront faire l’objet de protocoles ou de documents spécifiques.</w:t>
      </w:r>
    </w:p>
    <w:p>
      <w:pPr>
        <w:pStyle w:val="BodyText"/>
      </w:pPr>
    </w:p>
    <w:p>
      <w:pPr>
        <w:pStyle w:val="BodyText"/>
      </w:pPr>
    </w:p>
    <w:p>
      <w:pPr>
        <w:pStyle w:val="BodyText"/>
      </w:pPr>
    </w:p>
    <w:p>
      <w:pPr>
        <w:pStyle w:val="BodyText"/>
      </w:pPr>
    </w:p>
    <w:p>
      <w:pPr>
        <w:pStyle w:val="Heading1"/>
      </w:pPr>
      <w:r>
        <w:rPr/>
        <w:t>Délivrance de </w:t>
      </w:r>
      <w:r>
        <w:rPr>
          <w:spacing w:val="-2"/>
        </w:rPr>
        <w:t>diplôme</w:t>
      </w:r>
    </w:p>
    <w:p>
      <w:pPr>
        <w:pStyle w:val="Heading1"/>
        <w:spacing w:after="0"/>
        <w:sectPr>
          <w:pgSz w:w="11900" w:h="16820"/>
          <w:pgMar w:header="697" w:footer="692" w:top="2000" w:bottom="880" w:left="992" w:right="992"/>
        </w:sectPr>
      </w:pPr>
    </w:p>
    <w:p>
      <w:pPr>
        <w:pStyle w:val="BodyText"/>
        <w:spacing w:before="263"/>
        <w:ind w:left="142"/>
      </w:pPr>
      <w:r>
        <w:rPr/>
        <w:t>La thèse donne lieu à une </w:t>
      </w:r>
      <w:r>
        <w:rPr>
          <w:b/>
        </w:rPr>
        <w:t>soutenance et </w:t>
      </w:r>
      <w:r>
        <w:rPr/>
        <w:t>conférera après avis conforme du jury le grade de docteur, </w:t>
      </w:r>
      <w:r>
        <w:rPr/>
        <w:t>avec</w:t>
      </w:r>
      <w:r>
        <w:rPr>
          <w:spacing w:val="40"/>
        </w:rPr>
        <w:t> </w:t>
      </w:r>
      <w:r>
        <w:rPr/>
        <w:t>délivrance du diplôme de doctorat par l’Université Sidi Mohamed Ben Abdellah–Fès.</w:t>
      </w:r>
    </w:p>
    <w:p>
      <w:pPr>
        <w:spacing w:before="269"/>
        <w:ind w:left="142" w:right="0" w:firstLine="0"/>
        <w:jc w:val="left"/>
        <w:rPr>
          <w:b/>
          <w:sz w:val="24"/>
        </w:rPr>
      </w:pPr>
      <w:r>
        <w:rPr>
          <w:b/>
          <w:sz w:val="24"/>
          <w:u w:val="single"/>
        </w:rPr>
        <w:t>Approbation de la codirection de </w:t>
      </w:r>
      <w:r>
        <w:rPr>
          <w:b/>
          <w:spacing w:val="-2"/>
          <w:sz w:val="24"/>
          <w:u w:val="single"/>
        </w:rPr>
        <w:t>thèse</w:t>
      </w:r>
    </w:p>
    <w:p>
      <w:pPr>
        <w:pStyle w:val="BodyText"/>
        <w:spacing w:before="268"/>
        <w:ind w:left="142"/>
      </w:pPr>
      <w:r>
        <w:rPr/>
        <w:t>La présente convention a été établie en cinq exemplaires </w:t>
      </w:r>
      <w:r>
        <w:rPr>
          <w:spacing w:val="-2"/>
        </w:rPr>
        <w:t>originaux.</w:t>
      </w:r>
    </w:p>
    <w:p>
      <w:pPr>
        <w:pStyle w:val="BodyText"/>
        <w:spacing w:before="21"/>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927"/>
        <w:gridCol w:w="4927"/>
      </w:tblGrid>
      <w:tr>
        <w:trPr>
          <w:trHeight w:val="508" w:hRule="atLeast"/>
        </w:trPr>
        <w:tc>
          <w:tcPr>
            <w:tcW w:w="4927" w:type="dxa"/>
          </w:tcPr>
          <w:p>
            <w:pPr>
              <w:pStyle w:val="TableParagraph"/>
              <w:spacing w:before="124"/>
              <w:rPr>
                <w:b/>
                <w:sz w:val="22"/>
              </w:rPr>
            </w:pPr>
            <w:r>
              <w:rPr>
                <w:b/>
                <w:sz w:val="22"/>
              </w:rPr>
              <w:t>A Fès, </w:t>
            </w:r>
            <w:r>
              <w:rPr>
                <w:b/>
                <w:spacing w:val="-5"/>
                <w:sz w:val="22"/>
              </w:rPr>
              <w:t>le</w:t>
            </w:r>
          </w:p>
        </w:tc>
        <w:tc>
          <w:tcPr>
            <w:tcW w:w="4927" w:type="dxa"/>
          </w:tcPr>
          <w:p>
            <w:pPr>
              <w:pStyle w:val="TableParagraph"/>
              <w:spacing w:before="124"/>
              <w:ind w:left="108"/>
              <w:rPr>
                <w:b/>
                <w:sz w:val="22"/>
              </w:rPr>
            </w:pPr>
            <w:r>
              <w:rPr>
                <w:b/>
                <w:color w:val="FF0000"/>
                <w:sz w:val="22"/>
              </w:rPr>
              <w:t>A xxxxx, </w:t>
            </w:r>
            <w:r>
              <w:rPr>
                <w:b/>
                <w:color w:val="FF0000"/>
                <w:spacing w:val="-5"/>
                <w:sz w:val="22"/>
              </w:rPr>
              <w:t>le</w:t>
            </w:r>
          </w:p>
        </w:tc>
      </w:tr>
      <w:tr>
        <w:trPr>
          <w:trHeight w:val="1611" w:hRule="atLeast"/>
        </w:trPr>
        <w:tc>
          <w:tcPr>
            <w:tcW w:w="4927" w:type="dxa"/>
          </w:tcPr>
          <w:p>
            <w:pPr>
              <w:pStyle w:val="TableParagraph"/>
              <w:rPr>
                <w:b/>
                <w:sz w:val="22"/>
              </w:rPr>
            </w:pPr>
            <w:r>
              <w:rPr>
                <w:b/>
                <w:sz w:val="22"/>
              </w:rPr>
              <w:t>Doyen de la Faculté des xxxxxxxxxxxxxx </w:t>
            </w:r>
            <w:r>
              <w:rPr>
                <w:b/>
                <w:spacing w:val="-5"/>
                <w:sz w:val="22"/>
              </w:rPr>
              <w:t>Fès</w:t>
            </w:r>
          </w:p>
        </w:tc>
        <w:tc>
          <w:tcPr>
            <w:tcW w:w="4927" w:type="dxa"/>
          </w:tcPr>
          <w:p>
            <w:pPr>
              <w:pStyle w:val="TableParagraph"/>
              <w:ind w:left="108"/>
              <w:rPr>
                <w:b/>
                <w:sz w:val="22"/>
              </w:rPr>
            </w:pPr>
            <w:r>
              <w:rPr>
                <w:b/>
                <w:color w:val="FF0000"/>
                <w:sz w:val="22"/>
              </w:rPr>
              <w:t>xxxxx </w:t>
            </w:r>
            <w:r>
              <w:rPr>
                <w:b/>
                <w:color w:val="FF0000"/>
                <w:spacing w:val="-2"/>
                <w:sz w:val="22"/>
              </w:rPr>
              <w:t>xxxxx</w:t>
            </w:r>
          </w:p>
        </w:tc>
      </w:tr>
      <w:tr>
        <w:trPr>
          <w:trHeight w:val="1342" w:hRule="atLeast"/>
        </w:trPr>
        <w:tc>
          <w:tcPr>
            <w:tcW w:w="9854" w:type="dxa"/>
            <w:gridSpan w:val="2"/>
          </w:tcPr>
          <w:p>
            <w:pPr>
              <w:pStyle w:val="TableParagraph"/>
              <w:ind w:left="999"/>
              <w:rPr>
                <w:b/>
                <w:sz w:val="22"/>
              </w:rPr>
            </w:pPr>
            <w:r>
              <w:rPr>
                <w:b/>
                <w:sz w:val="22"/>
              </w:rPr>
              <w:t>Directeur du </w:t>
            </w:r>
            <w:r>
              <w:rPr>
                <w:b/>
                <w:color w:val="FF0000"/>
                <w:sz w:val="22"/>
              </w:rPr>
              <w:t>Centre d’Etudes Doctorales Sciences et Techniques et Sciences </w:t>
            </w:r>
            <w:r>
              <w:rPr>
                <w:b/>
                <w:color w:val="FF0000"/>
                <w:spacing w:val="-2"/>
                <w:sz w:val="22"/>
              </w:rPr>
              <w:t>Médicales</w:t>
            </w:r>
          </w:p>
        </w:tc>
      </w:tr>
      <w:tr>
        <w:trPr>
          <w:trHeight w:val="1342" w:hRule="atLeast"/>
        </w:trPr>
        <w:tc>
          <w:tcPr>
            <w:tcW w:w="4927" w:type="dxa"/>
          </w:tcPr>
          <w:p>
            <w:pPr>
              <w:pStyle w:val="TableParagraph"/>
              <w:rPr>
                <w:b/>
                <w:sz w:val="22"/>
              </w:rPr>
            </w:pPr>
            <w:r>
              <w:rPr>
                <w:b/>
                <w:sz w:val="22"/>
              </w:rPr>
              <w:t>Directeur de thèse </w:t>
            </w:r>
            <w:r>
              <w:rPr>
                <w:b/>
                <w:spacing w:val="-2"/>
                <w:sz w:val="22"/>
              </w:rPr>
              <w:t>principal,</w:t>
            </w:r>
          </w:p>
        </w:tc>
        <w:tc>
          <w:tcPr>
            <w:tcW w:w="4927" w:type="dxa"/>
          </w:tcPr>
          <w:p>
            <w:pPr>
              <w:pStyle w:val="TableParagraph"/>
              <w:ind w:left="108"/>
              <w:rPr>
                <w:b/>
                <w:sz w:val="22"/>
              </w:rPr>
            </w:pPr>
            <w:r>
              <w:rPr>
                <w:b/>
                <w:sz w:val="22"/>
              </w:rPr>
              <w:t>Co-Directeur de </w:t>
            </w:r>
            <w:r>
              <w:rPr>
                <w:b/>
                <w:spacing w:val="-2"/>
                <w:sz w:val="22"/>
              </w:rPr>
              <w:t>thèse,</w:t>
            </w:r>
          </w:p>
        </w:tc>
      </w:tr>
      <w:tr>
        <w:trPr>
          <w:trHeight w:val="1342" w:hRule="atLeast"/>
        </w:trPr>
        <w:tc>
          <w:tcPr>
            <w:tcW w:w="9854" w:type="dxa"/>
            <w:gridSpan w:val="2"/>
          </w:tcPr>
          <w:p>
            <w:pPr>
              <w:pStyle w:val="TableParagraph"/>
              <w:ind w:left="10" w:right="1"/>
              <w:jc w:val="center"/>
              <w:rPr>
                <w:b/>
                <w:sz w:val="22"/>
              </w:rPr>
            </w:pPr>
            <w:r>
              <w:rPr>
                <w:b/>
                <w:spacing w:val="-2"/>
                <w:sz w:val="22"/>
              </w:rPr>
              <w:t>Doctorant,</w:t>
            </w:r>
          </w:p>
        </w:tc>
      </w:tr>
    </w:tbl>
    <w:sectPr>
      <w:pgSz w:w="11900" w:h="16820"/>
      <w:pgMar w:header="697" w:footer="692" w:top="2000" w:bottom="8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648">
              <wp:simplePos x="0" y="0"/>
              <wp:positionH relativeFrom="page">
                <wp:posOffset>6283817</wp:posOffset>
              </wp:positionH>
              <wp:positionV relativeFrom="page">
                <wp:posOffset>10101520</wp:posOffset>
              </wp:positionV>
              <wp:extent cx="21018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0185" cy="153670"/>
                      </a:xfrm>
                      <a:prstGeom prst="rect">
                        <a:avLst/>
                      </a:prstGeom>
                    </wps:spPr>
                    <wps:txbx>
                      <w:txbxContent>
                        <w:p>
                          <w:pPr>
                            <w:spacing w:before="14"/>
                            <w:ind w:left="60" w:right="0" w:firstLine="0"/>
                            <w:jc w:val="left"/>
                            <w:rPr>
                              <w:rFonts w:ascii="Arial MT"/>
                              <w:sz w:val="18"/>
                            </w:rPr>
                          </w:pPr>
                          <w:r>
                            <w:rPr>
                              <w:rFonts w:ascii="Arial MT"/>
                              <w:spacing w:val="-5"/>
                              <w:sz w:val="18"/>
                            </w:rPr>
                            <w:fldChar w:fldCharType="begin"/>
                          </w:r>
                          <w:r>
                            <w:rPr>
                              <w:rFonts w:ascii="Arial MT"/>
                              <w:spacing w:val="-5"/>
                              <w:sz w:val="18"/>
                            </w:rPr>
                            <w:instrText> PAGE </w:instrText>
                          </w:r>
                          <w:r>
                            <w:rPr>
                              <w:rFonts w:ascii="Arial MT"/>
                              <w:spacing w:val="-5"/>
                              <w:sz w:val="18"/>
                            </w:rPr>
                            <w:fldChar w:fldCharType="separate"/>
                          </w:r>
                          <w:r>
                            <w:rPr>
                              <w:rFonts w:ascii="Arial MT"/>
                              <w:spacing w:val="-5"/>
                              <w:sz w:val="18"/>
                            </w:rPr>
                            <w:t>1</w:t>
                          </w:r>
                          <w:r>
                            <w:rPr>
                              <w:rFonts w:ascii="Arial MT"/>
                              <w:spacing w:val="-5"/>
                              <w:sz w:val="18"/>
                            </w:rPr>
                            <w:fldChar w:fldCharType="end"/>
                          </w:r>
                          <w:r>
                            <w:rPr>
                              <w:rFonts w:ascii="Arial MT"/>
                              <w:spacing w:val="-5"/>
                              <w:sz w:val="18"/>
                            </w:rPr>
                            <w:t>/1</w:t>
                          </w:r>
                        </w:p>
                      </w:txbxContent>
                    </wps:txbx>
                    <wps:bodyPr wrap="square" lIns="0" tIns="0" rIns="0" bIns="0" rtlCol="0">
                      <a:noAutofit/>
                    </wps:bodyPr>
                  </wps:wsp>
                </a:graphicData>
              </a:graphic>
            </wp:anchor>
          </w:drawing>
        </mc:Choice>
        <mc:Fallback>
          <w:pict>
            <v:shape style="position:absolute;margin-left:494.788788pt;margin-top:795.395325pt;width:16.55pt;height:12.1pt;mso-position-horizontal-relative:page;mso-position-vertical-relative:page;z-index:-15864832" type="#_x0000_t202" id="docshape2" filled="false" stroked="false">
              <v:textbox inset="0,0,0,0">
                <w:txbxContent>
                  <w:p>
                    <w:pPr>
                      <w:spacing w:before="14"/>
                      <w:ind w:left="60" w:right="0" w:firstLine="0"/>
                      <w:jc w:val="left"/>
                      <w:rPr>
                        <w:rFonts w:ascii="Arial MT"/>
                        <w:sz w:val="18"/>
                      </w:rPr>
                    </w:pPr>
                    <w:r>
                      <w:rPr>
                        <w:rFonts w:ascii="Arial MT"/>
                        <w:spacing w:val="-5"/>
                        <w:sz w:val="18"/>
                      </w:rPr>
                      <w:fldChar w:fldCharType="begin"/>
                    </w:r>
                    <w:r>
                      <w:rPr>
                        <w:rFonts w:ascii="Arial MT"/>
                        <w:spacing w:val="-5"/>
                        <w:sz w:val="18"/>
                      </w:rPr>
                      <w:instrText> PAGE </w:instrText>
                    </w:r>
                    <w:r>
                      <w:rPr>
                        <w:rFonts w:ascii="Arial MT"/>
                        <w:spacing w:val="-5"/>
                        <w:sz w:val="18"/>
                      </w:rPr>
                      <w:fldChar w:fldCharType="separate"/>
                    </w:r>
                    <w:r>
                      <w:rPr>
                        <w:rFonts w:ascii="Arial MT"/>
                        <w:spacing w:val="-5"/>
                        <w:sz w:val="18"/>
                      </w:rPr>
                      <w:t>1</w:t>
                    </w:r>
                    <w:r>
                      <w:rPr>
                        <w:rFonts w:ascii="Arial MT"/>
                        <w:spacing w:val="-5"/>
                        <w:sz w:val="18"/>
                      </w:rPr>
                      <w:fldChar w:fldCharType="end"/>
                    </w:r>
                    <w:r>
                      <w:rPr>
                        <w:rFonts w:ascii="Arial MT"/>
                        <w:spacing w:val="-5"/>
                        <w:sz w:val="18"/>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0112">
          <wp:simplePos x="0" y="0"/>
          <wp:positionH relativeFrom="page">
            <wp:posOffset>3716375</wp:posOffset>
          </wp:positionH>
          <wp:positionV relativeFrom="page">
            <wp:posOffset>442595</wp:posOffset>
          </wp:positionV>
          <wp:extent cx="3294024" cy="6965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94024" cy="6965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0624">
              <wp:simplePos x="0" y="0"/>
              <wp:positionH relativeFrom="page">
                <wp:posOffset>847724</wp:posOffset>
              </wp:positionH>
              <wp:positionV relativeFrom="page">
                <wp:posOffset>1205845</wp:posOffset>
              </wp:positionV>
              <wp:extent cx="601027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10275" cy="9525"/>
                      </a:xfrm>
                      <a:custGeom>
                        <a:avLst/>
                        <a:gdLst/>
                        <a:ahLst/>
                        <a:cxnLst/>
                        <a:rect l="l" t="t" r="r" b="b"/>
                        <a:pathLst>
                          <a:path w="6010275" h="9525">
                            <a:moveTo>
                              <a:pt x="6010275" y="0"/>
                            </a:moveTo>
                            <a:lnTo>
                              <a:pt x="0" y="95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5856" from="539.999999pt,94.948441pt" to="66.749992pt,95.698441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1136">
              <wp:simplePos x="0" y="0"/>
              <wp:positionH relativeFrom="page">
                <wp:posOffset>983019</wp:posOffset>
              </wp:positionH>
              <wp:positionV relativeFrom="page">
                <wp:posOffset>657185</wp:posOffset>
              </wp:positionV>
              <wp:extent cx="217805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78050" cy="177800"/>
                      </a:xfrm>
                      <a:prstGeom prst="rect">
                        <a:avLst/>
                      </a:prstGeom>
                    </wps:spPr>
                    <wps:txbx>
                      <w:txbxContent>
                        <w:p>
                          <w:pPr>
                            <w:spacing w:line="264" w:lineRule="exact" w:before="0"/>
                            <w:ind w:left="20" w:right="0" w:firstLine="0"/>
                            <w:jc w:val="left"/>
                            <w:rPr>
                              <w:sz w:val="24"/>
                            </w:rPr>
                          </w:pPr>
                          <w:r>
                            <w:rPr>
                              <w:sz w:val="24"/>
                            </w:rPr>
                            <w:t>Logo de l’établissement </w:t>
                          </w:r>
                          <w:r>
                            <w:rPr>
                              <w:spacing w:val="-2"/>
                              <w:sz w:val="24"/>
                            </w:rPr>
                            <w:t>partenaire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40313pt;margin-top:51.746876pt;width:171.5pt;height:14pt;mso-position-horizontal-relative:page;mso-position-vertical-relative:page;z-index:-15865344" type="#_x0000_t202" id="docshape1" filled="false" stroked="false">
              <v:textbox inset="0,0,0,0">
                <w:txbxContent>
                  <w:p>
                    <w:pPr>
                      <w:spacing w:line="264" w:lineRule="exact" w:before="0"/>
                      <w:ind w:left="20" w:right="0" w:firstLine="0"/>
                      <w:jc w:val="left"/>
                      <w:rPr>
                        <w:sz w:val="24"/>
                      </w:rPr>
                    </w:pPr>
                    <w:r>
                      <w:rPr>
                        <w:sz w:val="24"/>
                      </w:rPr>
                      <w:t>Logo de l’établissement </w:t>
                    </w:r>
                    <w:r>
                      <w:rPr>
                        <w:spacing w:val="-2"/>
                        <w:sz w:val="24"/>
                      </w:rPr>
                      <w:t>partenaire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309" w:hanging="168"/>
        <w:jc w:val="left"/>
      </w:pPr>
      <w:rPr>
        <w:rFonts w:hint="default" w:ascii="Calibri" w:hAnsi="Calibri" w:eastAsia="Calibri" w:cs="Calibri"/>
        <w:b/>
        <w:bCs/>
        <w:i w:val="0"/>
        <w:iCs w:val="0"/>
        <w:spacing w:val="0"/>
        <w:w w:val="82"/>
        <w:sz w:val="22"/>
        <w:szCs w:val="22"/>
        <w:u w:val="single" w:color="000000"/>
        <w:lang w:val="fr-FR" w:eastAsia="en-US" w:bidi="ar-SA"/>
      </w:rPr>
    </w:lvl>
    <w:lvl w:ilvl="1">
      <w:start w:val="0"/>
      <w:numFmt w:val="bullet"/>
      <w:lvlText w:val=""/>
      <w:lvlJc w:val="left"/>
      <w:pPr>
        <w:ind w:left="862" w:hanging="360"/>
      </w:pPr>
      <w:rPr>
        <w:rFonts w:hint="default" w:ascii="Wingdings" w:hAnsi="Wingdings" w:eastAsia="Wingdings" w:cs="Wingdings"/>
        <w:b w:val="0"/>
        <w:bCs w:val="0"/>
        <w:i w:val="0"/>
        <w:iCs w:val="0"/>
        <w:spacing w:val="0"/>
        <w:w w:val="100"/>
        <w:sz w:val="22"/>
        <w:szCs w:val="22"/>
        <w:lang w:val="fr-FR" w:eastAsia="en-US" w:bidi="ar-SA"/>
      </w:rPr>
    </w:lvl>
    <w:lvl w:ilvl="2">
      <w:start w:val="0"/>
      <w:numFmt w:val="bullet"/>
      <w:lvlText w:val="•"/>
      <w:lvlJc w:val="left"/>
      <w:pPr>
        <w:ind w:left="1866" w:hanging="360"/>
      </w:pPr>
      <w:rPr>
        <w:rFonts w:hint="default"/>
        <w:lang w:val="fr-FR" w:eastAsia="en-US" w:bidi="ar-SA"/>
      </w:rPr>
    </w:lvl>
    <w:lvl w:ilvl="3">
      <w:start w:val="0"/>
      <w:numFmt w:val="bullet"/>
      <w:lvlText w:val="•"/>
      <w:lvlJc w:val="left"/>
      <w:pPr>
        <w:ind w:left="2872" w:hanging="360"/>
      </w:pPr>
      <w:rPr>
        <w:rFonts w:hint="default"/>
        <w:lang w:val="fr-FR" w:eastAsia="en-US" w:bidi="ar-SA"/>
      </w:rPr>
    </w:lvl>
    <w:lvl w:ilvl="4">
      <w:start w:val="0"/>
      <w:numFmt w:val="bullet"/>
      <w:lvlText w:val="•"/>
      <w:lvlJc w:val="left"/>
      <w:pPr>
        <w:ind w:left="3878" w:hanging="360"/>
      </w:pPr>
      <w:rPr>
        <w:rFonts w:hint="default"/>
        <w:lang w:val="fr-FR" w:eastAsia="en-US" w:bidi="ar-SA"/>
      </w:rPr>
    </w:lvl>
    <w:lvl w:ilvl="5">
      <w:start w:val="0"/>
      <w:numFmt w:val="bullet"/>
      <w:lvlText w:val="•"/>
      <w:lvlJc w:val="left"/>
      <w:pPr>
        <w:ind w:left="4884" w:hanging="360"/>
      </w:pPr>
      <w:rPr>
        <w:rFonts w:hint="default"/>
        <w:lang w:val="fr-FR" w:eastAsia="en-US" w:bidi="ar-SA"/>
      </w:rPr>
    </w:lvl>
    <w:lvl w:ilvl="6">
      <w:start w:val="0"/>
      <w:numFmt w:val="bullet"/>
      <w:lvlText w:val="•"/>
      <w:lvlJc w:val="left"/>
      <w:pPr>
        <w:ind w:left="5891" w:hanging="360"/>
      </w:pPr>
      <w:rPr>
        <w:rFonts w:hint="default"/>
        <w:lang w:val="fr-FR" w:eastAsia="en-US" w:bidi="ar-SA"/>
      </w:rPr>
    </w:lvl>
    <w:lvl w:ilvl="7">
      <w:start w:val="0"/>
      <w:numFmt w:val="bullet"/>
      <w:lvlText w:val="•"/>
      <w:lvlJc w:val="left"/>
      <w:pPr>
        <w:ind w:left="6897" w:hanging="360"/>
      </w:pPr>
      <w:rPr>
        <w:rFonts w:hint="default"/>
        <w:lang w:val="fr-FR" w:eastAsia="en-US" w:bidi="ar-SA"/>
      </w:rPr>
    </w:lvl>
    <w:lvl w:ilvl="8">
      <w:start w:val="0"/>
      <w:numFmt w:val="bullet"/>
      <w:lvlText w:val="•"/>
      <w:lvlJc w:val="left"/>
      <w:pPr>
        <w:ind w:left="7903" w:hanging="360"/>
      </w:pPr>
      <w:rPr>
        <w:rFonts w:hint="default"/>
        <w:lang w:val="fr-FR" w:eastAsia="en-US" w:bidi="ar-SA"/>
      </w:rPr>
    </w:lvl>
  </w:abstractNum>
  <w:abstractNum w:abstractNumId="0">
    <w:multiLevelType w:val="hybridMultilevel"/>
    <w:lvl w:ilvl="0">
      <w:start w:val="0"/>
      <w:numFmt w:val="bullet"/>
      <w:lvlText w:val=""/>
      <w:lvlJc w:val="left"/>
      <w:pPr>
        <w:ind w:left="828" w:hanging="360"/>
      </w:pPr>
      <w:rPr>
        <w:rFonts w:hint="default" w:ascii="Wingdings" w:hAnsi="Wingdings" w:eastAsia="Wingdings" w:cs="Wingdings"/>
        <w:spacing w:val="0"/>
        <w:w w:val="100"/>
        <w:lang w:val="fr-FR" w:eastAsia="en-US" w:bidi="ar-SA"/>
      </w:rPr>
    </w:lvl>
    <w:lvl w:ilvl="1">
      <w:start w:val="0"/>
      <w:numFmt w:val="bullet"/>
      <w:lvlText w:val="•"/>
      <w:lvlJc w:val="left"/>
      <w:pPr>
        <w:ind w:left="1722" w:hanging="360"/>
      </w:pPr>
      <w:rPr>
        <w:rFonts w:hint="default"/>
        <w:lang w:val="fr-FR" w:eastAsia="en-US" w:bidi="ar-SA"/>
      </w:rPr>
    </w:lvl>
    <w:lvl w:ilvl="2">
      <w:start w:val="0"/>
      <w:numFmt w:val="bullet"/>
      <w:lvlText w:val="•"/>
      <w:lvlJc w:val="left"/>
      <w:pPr>
        <w:ind w:left="2624" w:hanging="360"/>
      </w:pPr>
      <w:rPr>
        <w:rFonts w:hint="default"/>
        <w:lang w:val="fr-FR" w:eastAsia="en-US" w:bidi="ar-SA"/>
      </w:rPr>
    </w:lvl>
    <w:lvl w:ilvl="3">
      <w:start w:val="0"/>
      <w:numFmt w:val="bullet"/>
      <w:lvlText w:val="•"/>
      <w:lvlJc w:val="left"/>
      <w:pPr>
        <w:ind w:left="3527" w:hanging="360"/>
      </w:pPr>
      <w:rPr>
        <w:rFonts w:hint="default"/>
        <w:lang w:val="fr-FR" w:eastAsia="en-US" w:bidi="ar-SA"/>
      </w:rPr>
    </w:lvl>
    <w:lvl w:ilvl="4">
      <w:start w:val="0"/>
      <w:numFmt w:val="bullet"/>
      <w:lvlText w:val="•"/>
      <w:lvlJc w:val="left"/>
      <w:pPr>
        <w:ind w:left="4429" w:hanging="360"/>
      </w:pPr>
      <w:rPr>
        <w:rFonts w:hint="default"/>
        <w:lang w:val="fr-FR" w:eastAsia="en-US" w:bidi="ar-SA"/>
      </w:rPr>
    </w:lvl>
    <w:lvl w:ilvl="5">
      <w:start w:val="0"/>
      <w:numFmt w:val="bullet"/>
      <w:lvlText w:val="•"/>
      <w:lvlJc w:val="left"/>
      <w:pPr>
        <w:ind w:left="5332" w:hanging="360"/>
      </w:pPr>
      <w:rPr>
        <w:rFonts w:hint="default"/>
        <w:lang w:val="fr-FR" w:eastAsia="en-US" w:bidi="ar-SA"/>
      </w:rPr>
    </w:lvl>
    <w:lvl w:ilvl="6">
      <w:start w:val="0"/>
      <w:numFmt w:val="bullet"/>
      <w:lvlText w:val="•"/>
      <w:lvlJc w:val="left"/>
      <w:pPr>
        <w:ind w:left="6234" w:hanging="360"/>
      </w:pPr>
      <w:rPr>
        <w:rFonts w:hint="default"/>
        <w:lang w:val="fr-FR" w:eastAsia="en-US" w:bidi="ar-SA"/>
      </w:rPr>
    </w:lvl>
    <w:lvl w:ilvl="7">
      <w:start w:val="0"/>
      <w:numFmt w:val="bullet"/>
      <w:lvlText w:val="•"/>
      <w:lvlJc w:val="left"/>
      <w:pPr>
        <w:ind w:left="7136" w:hanging="360"/>
      </w:pPr>
      <w:rPr>
        <w:rFonts w:hint="default"/>
        <w:lang w:val="fr-FR" w:eastAsia="en-US" w:bidi="ar-SA"/>
      </w:rPr>
    </w:lvl>
    <w:lvl w:ilvl="8">
      <w:start w:val="0"/>
      <w:numFmt w:val="bullet"/>
      <w:lvlText w:val="•"/>
      <w:lvlJc w:val="left"/>
      <w:pPr>
        <w:ind w:left="8039" w:hanging="360"/>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2"/>
      <w:szCs w:val="22"/>
      <w:lang w:val="fr-FR" w:eastAsia="en-US" w:bidi="ar-SA"/>
    </w:rPr>
  </w:style>
  <w:style w:styleId="Heading1" w:type="paragraph">
    <w:name w:val="Heading 1"/>
    <w:basedOn w:val="Normal"/>
    <w:uiPriority w:val="1"/>
    <w:qFormat/>
    <w:pPr>
      <w:ind w:left="142"/>
      <w:outlineLvl w:val="1"/>
    </w:pPr>
    <w:rPr>
      <w:rFonts w:ascii="Calibri" w:hAnsi="Calibri" w:eastAsia="Calibri" w:cs="Calibri"/>
      <w:b/>
      <w:bCs/>
      <w:sz w:val="22"/>
      <w:szCs w:val="22"/>
      <w:lang w:val="fr-FR" w:eastAsia="en-US" w:bidi="ar-SA"/>
    </w:rPr>
  </w:style>
  <w:style w:styleId="Title" w:type="paragraph">
    <w:name w:val="Title"/>
    <w:basedOn w:val="Normal"/>
    <w:uiPriority w:val="1"/>
    <w:qFormat/>
    <w:pPr>
      <w:spacing w:before="67"/>
      <w:ind w:left="397"/>
    </w:pPr>
    <w:rPr>
      <w:rFonts w:ascii="Arial MT" w:hAnsi="Arial MT" w:eastAsia="Arial MT" w:cs="Arial MT"/>
      <w:sz w:val="36"/>
      <w:szCs w:val="36"/>
      <w:lang w:val="fr-FR" w:eastAsia="en-US" w:bidi="ar-SA"/>
    </w:rPr>
  </w:style>
  <w:style w:styleId="ListParagraph" w:type="paragraph">
    <w:name w:val="List Paragraph"/>
    <w:basedOn w:val="Normal"/>
    <w:uiPriority w:val="1"/>
    <w:qFormat/>
    <w:pPr>
      <w:ind w:left="861" w:hanging="359"/>
    </w:pPr>
    <w:rPr>
      <w:rFonts w:ascii="Calibri" w:hAnsi="Calibri" w:eastAsia="Calibri" w:cs="Calibri"/>
      <w:lang w:val="fr-FR" w:eastAsia="en-US" w:bidi="ar-SA"/>
    </w:rPr>
  </w:style>
  <w:style w:styleId="TableParagraph" w:type="paragraph">
    <w:name w:val="Table Paragraph"/>
    <w:basedOn w:val="Normal"/>
    <w:uiPriority w:val="1"/>
    <w:qFormat/>
    <w:pPr>
      <w:spacing w:before="4"/>
      <w:ind w:left="107"/>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2025-11-25T13:03:33Z</dcterms:created>
  <dcterms:modified xsi:type="dcterms:W3CDTF">2025-11-25T13:03:33Z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2025-10-29T00:00:00Z</vt:filetime>
  </property>
</Properties>
</file>